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91351" w14:textId="77777777" w:rsidR="005F3B40" w:rsidRPr="009B03E3" w:rsidRDefault="005F3B40" w:rsidP="003465C6">
      <w:pPr>
        <w:spacing w:after="0" w:line="240" w:lineRule="auto"/>
        <w:jc w:val="center"/>
        <w:rPr>
          <w:rFonts w:ascii="Times New Roman" w:hAnsi="Times New Roman"/>
          <w:b/>
          <w:sz w:val="24"/>
          <w:szCs w:val="24"/>
          <w:lang w:eastAsia="lv-LV"/>
        </w:rPr>
      </w:pPr>
      <w:r w:rsidRPr="009B03E3">
        <w:rPr>
          <w:rFonts w:ascii="Times New Roman" w:hAnsi="Times New Roman"/>
          <w:b/>
          <w:sz w:val="24"/>
          <w:szCs w:val="24"/>
          <w:lang w:eastAsia="lv-LV"/>
        </w:rPr>
        <w:t>Ministru kabineta noteikumu projekt</w:t>
      </w:r>
      <w:r w:rsidR="0087415E" w:rsidRPr="009B03E3">
        <w:rPr>
          <w:rFonts w:ascii="Times New Roman" w:hAnsi="Times New Roman"/>
          <w:b/>
          <w:sz w:val="24"/>
          <w:szCs w:val="24"/>
          <w:lang w:eastAsia="lv-LV"/>
        </w:rPr>
        <w:t>a</w:t>
      </w:r>
      <w:r w:rsidRPr="009B03E3">
        <w:rPr>
          <w:rFonts w:ascii="Times New Roman" w:hAnsi="Times New Roman"/>
          <w:b/>
          <w:sz w:val="24"/>
          <w:szCs w:val="24"/>
          <w:lang w:eastAsia="lv-LV"/>
        </w:rPr>
        <w:t xml:space="preserve"> </w:t>
      </w:r>
      <w:r w:rsidR="00033B2C">
        <w:rPr>
          <w:rFonts w:ascii="Times New Roman" w:hAnsi="Times New Roman"/>
          <w:b/>
          <w:sz w:val="24"/>
          <w:szCs w:val="24"/>
          <w:lang w:eastAsia="lv-LV"/>
        </w:rPr>
        <w:t>“</w:t>
      </w:r>
      <w:r w:rsidR="009C5617" w:rsidRPr="009B03E3">
        <w:rPr>
          <w:rFonts w:ascii="Times New Roman" w:hAnsi="Times New Roman"/>
          <w:b/>
          <w:sz w:val="24"/>
          <w:szCs w:val="24"/>
          <w:lang w:eastAsia="lv-LV"/>
        </w:rPr>
        <w:t>Noteikumi par numerācijas lietošanas tiesību ikgadējo valsts nodevu</w:t>
      </w:r>
      <w:r w:rsidR="00033B2C">
        <w:rPr>
          <w:rFonts w:ascii="Times New Roman" w:hAnsi="Times New Roman"/>
          <w:b/>
          <w:sz w:val="24"/>
          <w:szCs w:val="24"/>
          <w:lang w:eastAsia="lv-LV"/>
        </w:rPr>
        <w:t>”</w:t>
      </w:r>
      <w:r w:rsidRPr="009B03E3">
        <w:rPr>
          <w:rFonts w:ascii="Times New Roman" w:hAnsi="Times New Roman"/>
          <w:b/>
          <w:sz w:val="24"/>
          <w:szCs w:val="24"/>
          <w:lang w:eastAsia="lv-LV"/>
        </w:rPr>
        <w:t xml:space="preserve"> sākotnējās ietekmes novērtējuma ziņojums (anotācija)</w:t>
      </w:r>
    </w:p>
    <w:p w14:paraId="54B70E86" w14:textId="77777777" w:rsidR="00611359" w:rsidRPr="009B03E3" w:rsidRDefault="00611359" w:rsidP="003465C6">
      <w:pPr>
        <w:spacing w:after="0" w:line="240" w:lineRule="auto"/>
        <w:jc w:val="center"/>
        <w:rPr>
          <w:rFonts w:ascii="Times New Roman" w:hAnsi="Times New Roman"/>
          <w:b/>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482"/>
        <w:gridCol w:w="6968"/>
      </w:tblGrid>
      <w:tr w:rsidR="009B03E3" w:rsidRPr="009B03E3" w14:paraId="75D42477" w14:textId="77777777" w:rsidTr="005F3B40">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0DB50D83" w14:textId="77777777" w:rsidR="005F3B40" w:rsidRPr="009B03E3" w:rsidRDefault="005F3B40">
            <w:pPr>
              <w:pStyle w:val="tvhtml"/>
              <w:spacing w:before="0" w:beforeAutospacing="0" w:after="0" w:afterAutospacing="0"/>
              <w:jc w:val="center"/>
              <w:rPr>
                <w:b/>
                <w:bCs/>
                <w:lang w:eastAsia="en-US"/>
              </w:rPr>
            </w:pPr>
            <w:r w:rsidRPr="009B03E3">
              <w:rPr>
                <w:b/>
                <w:bCs/>
                <w:lang w:eastAsia="en-US"/>
              </w:rPr>
              <w:t>Tiesību akta projekta anotācijas kopsavilkums</w:t>
            </w:r>
          </w:p>
        </w:tc>
      </w:tr>
      <w:tr w:rsidR="009B03E3" w:rsidRPr="009B03E3" w14:paraId="32DE96CC" w14:textId="77777777" w:rsidTr="009C7872">
        <w:tc>
          <w:tcPr>
            <w:tcW w:w="1666" w:type="pct"/>
            <w:tcBorders>
              <w:top w:val="outset" w:sz="6" w:space="0" w:color="414142"/>
              <w:left w:val="outset" w:sz="6" w:space="0" w:color="414142"/>
              <w:bottom w:val="outset" w:sz="6" w:space="0" w:color="414142"/>
              <w:right w:val="outset" w:sz="6" w:space="0" w:color="414142"/>
            </w:tcBorders>
            <w:hideMark/>
          </w:tcPr>
          <w:p w14:paraId="6687ED2D" w14:textId="77777777" w:rsidR="005F3B40" w:rsidRPr="009B03E3" w:rsidRDefault="005F3B40" w:rsidP="003465C6">
            <w:pPr>
              <w:spacing w:after="0" w:line="240" w:lineRule="auto"/>
              <w:rPr>
                <w:rFonts w:ascii="Times New Roman" w:hAnsi="Times New Roman"/>
                <w:sz w:val="24"/>
                <w:szCs w:val="24"/>
              </w:rPr>
            </w:pPr>
            <w:r w:rsidRPr="009B03E3">
              <w:rPr>
                <w:rFonts w:ascii="Times New Roman" w:hAnsi="Times New Roman"/>
                <w:sz w:val="24"/>
                <w:szCs w:val="24"/>
              </w:rPr>
              <w:t xml:space="preserve">Mērķis, risinājums un projekta spēkā stāšanās laiks </w:t>
            </w:r>
          </w:p>
          <w:p w14:paraId="07A2D29C" w14:textId="77777777" w:rsidR="00611359" w:rsidRPr="009B03E3" w:rsidRDefault="00611359" w:rsidP="003465C6">
            <w:pPr>
              <w:spacing w:after="0" w:line="240" w:lineRule="auto"/>
              <w:rPr>
                <w:rFonts w:ascii="Times New Roman" w:hAnsi="Times New Roman"/>
                <w:sz w:val="24"/>
                <w:szCs w:val="24"/>
              </w:rPr>
            </w:pPr>
            <w:r w:rsidRPr="009B03E3">
              <w:rPr>
                <w:rFonts w:ascii="Times New Roman" w:eastAsia="Times New Roman" w:hAnsi="Times New Roman"/>
                <w:sz w:val="24"/>
                <w:szCs w:val="24"/>
                <w:lang w:eastAsia="lv-LV"/>
              </w:rPr>
              <w:t>(500 zīmes bez atstarpēm)</w:t>
            </w:r>
          </w:p>
        </w:tc>
        <w:tc>
          <w:tcPr>
            <w:tcW w:w="3334" w:type="pct"/>
            <w:tcBorders>
              <w:top w:val="outset" w:sz="6" w:space="0" w:color="414142"/>
              <w:left w:val="outset" w:sz="6" w:space="0" w:color="414142"/>
              <w:bottom w:val="outset" w:sz="6" w:space="0" w:color="414142"/>
              <w:right w:val="outset" w:sz="6" w:space="0" w:color="414142"/>
            </w:tcBorders>
            <w:hideMark/>
          </w:tcPr>
          <w:p w14:paraId="0C76566F" w14:textId="77777777" w:rsidR="005F3B40" w:rsidRPr="009B03E3" w:rsidRDefault="00B67B05" w:rsidP="007C1307">
            <w:pPr>
              <w:keepLines/>
              <w:spacing w:after="0" w:line="240" w:lineRule="auto"/>
              <w:jc w:val="both"/>
              <w:rPr>
                <w:rFonts w:ascii="Times New Roman" w:eastAsiaTheme="minorHAnsi" w:hAnsi="Times New Roman"/>
                <w:bCs/>
                <w:sz w:val="24"/>
                <w:szCs w:val="24"/>
              </w:rPr>
            </w:pPr>
            <w:r w:rsidRPr="009B03E3">
              <w:rPr>
                <w:rFonts w:ascii="Times New Roman" w:hAnsi="Times New Roman"/>
                <w:bCs/>
                <w:sz w:val="24"/>
                <w:szCs w:val="24"/>
                <w:lang w:eastAsia="lv-LV"/>
              </w:rPr>
              <w:t xml:space="preserve">Ministru kabineta noteikumu projekts </w:t>
            </w:r>
            <w:r w:rsidR="00033B2C">
              <w:rPr>
                <w:rFonts w:ascii="Times New Roman" w:hAnsi="Times New Roman"/>
                <w:bCs/>
                <w:sz w:val="24"/>
                <w:szCs w:val="24"/>
                <w:lang w:eastAsia="lv-LV"/>
              </w:rPr>
              <w:t>“</w:t>
            </w:r>
            <w:r w:rsidRPr="009B03E3">
              <w:rPr>
                <w:rFonts w:ascii="Times New Roman" w:hAnsi="Times New Roman"/>
                <w:bCs/>
                <w:sz w:val="24"/>
                <w:szCs w:val="24"/>
                <w:lang w:eastAsia="lv-LV"/>
              </w:rPr>
              <w:t>Noteikumi par numerācijas lietošanas tiesību ikgadējo valsts nodevu</w:t>
            </w:r>
            <w:r w:rsidR="00033B2C">
              <w:rPr>
                <w:rFonts w:ascii="Times New Roman" w:hAnsi="Times New Roman"/>
                <w:bCs/>
                <w:sz w:val="24"/>
                <w:szCs w:val="24"/>
                <w:lang w:eastAsia="lv-LV"/>
              </w:rPr>
              <w:t>”</w:t>
            </w:r>
            <w:r w:rsidRPr="009B03E3">
              <w:rPr>
                <w:rFonts w:ascii="Times New Roman" w:hAnsi="Times New Roman"/>
                <w:bCs/>
                <w:sz w:val="24"/>
                <w:szCs w:val="24"/>
                <w:lang w:eastAsia="lv-LV"/>
              </w:rPr>
              <w:t xml:space="preserve"> (turpmāk – Noteikumu projekts) izstrādāts, lai atbilstoši Ministru kabineta 2020.gada 26.maija sēdes </w:t>
            </w:r>
            <w:proofErr w:type="spellStart"/>
            <w:r w:rsidRPr="009B03E3">
              <w:rPr>
                <w:rFonts w:ascii="Times New Roman" w:hAnsi="Times New Roman"/>
                <w:bCs/>
                <w:sz w:val="24"/>
                <w:szCs w:val="24"/>
                <w:lang w:eastAsia="lv-LV"/>
              </w:rPr>
              <w:t>protokollēmuma</w:t>
            </w:r>
            <w:proofErr w:type="spellEnd"/>
            <w:r w:rsidRPr="009B03E3">
              <w:rPr>
                <w:rFonts w:ascii="Times New Roman" w:hAnsi="Times New Roman"/>
                <w:bCs/>
                <w:sz w:val="24"/>
                <w:szCs w:val="24"/>
                <w:lang w:eastAsia="lv-LV"/>
              </w:rPr>
              <w:t xml:space="preserve"> (prot.Nr.36 25.§) 3.punktam noteiktu regulējumu, kas paredz ikgadējās valsts nodevas piemērošanu visai numerācijai, kas ir noteikta </w:t>
            </w:r>
            <w:r w:rsidR="007C1307" w:rsidRPr="009B03E3">
              <w:rPr>
                <w:rFonts w:ascii="Times New Roman" w:hAnsi="Times New Roman"/>
                <w:sz w:val="24"/>
                <w:szCs w:val="24"/>
                <w:lang w:bidi="lv-LV"/>
              </w:rPr>
              <w:t xml:space="preserve">Ministru kabineta 2015.gada 3.jūnija noteikumos Nr.367 </w:t>
            </w:r>
            <w:r w:rsidR="00033B2C">
              <w:rPr>
                <w:rFonts w:ascii="Times New Roman" w:hAnsi="Times New Roman"/>
                <w:sz w:val="24"/>
                <w:szCs w:val="24"/>
                <w:lang w:bidi="lv-LV"/>
              </w:rPr>
              <w:t>“</w:t>
            </w:r>
            <w:r w:rsidR="007C1307" w:rsidRPr="009B03E3">
              <w:rPr>
                <w:rFonts w:ascii="Times New Roman" w:hAnsi="Times New Roman"/>
                <w:sz w:val="24"/>
                <w:szCs w:val="24"/>
                <w:lang w:bidi="lv-LV"/>
              </w:rPr>
              <w:t>Nacionālais numerācijas plāns</w:t>
            </w:r>
            <w:r w:rsidR="00033B2C">
              <w:rPr>
                <w:rFonts w:ascii="Times New Roman" w:hAnsi="Times New Roman"/>
                <w:sz w:val="24"/>
                <w:szCs w:val="24"/>
                <w:lang w:bidi="lv-LV"/>
              </w:rPr>
              <w:t>”</w:t>
            </w:r>
            <w:r w:rsidR="007C1307" w:rsidRPr="009B03E3">
              <w:rPr>
                <w:rFonts w:ascii="Times New Roman" w:hAnsi="Times New Roman"/>
                <w:sz w:val="24"/>
                <w:szCs w:val="24"/>
                <w:lang w:bidi="lv-LV"/>
              </w:rPr>
              <w:t xml:space="preserve"> (turpmāk – Nacionālais numerācijas plāns)</w:t>
            </w:r>
            <w:r w:rsidRPr="009B03E3">
              <w:rPr>
                <w:rFonts w:ascii="Times New Roman" w:hAnsi="Times New Roman"/>
                <w:bCs/>
                <w:sz w:val="24"/>
                <w:szCs w:val="24"/>
                <w:lang w:eastAsia="lv-LV"/>
              </w:rPr>
              <w:t>, izņemot starptautisko signalizācijas punktu kodu, kas nav Latvijas Republikas nacionālais ierobežotais resurss.</w:t>
            </w:r>
            <w:r w:rsidRPr="009B03E3">
              <w:rPr>
                <w:szCs w:val="28"/>
              </w:rPr>
              <w:t xml:space="preserve"> </w:t>
            </w:r>
          </w:p>
        </w:tc>
      </w:tr>
    </w:tbl>
    <w:p w14:paraId="204BEBF9" w14:textId="77777777" w:rsidR="005F3B40" w:rsidRPr="009B03E3" w:rsidRDefault="005F3B40" w:rsidP="003465C6">
      <w:pPr>
        <w:shd w:val="clear" w:color="auto" w:fill="FFFFFF"/>
        <w:spacing w:after="0" w:line="240" w:lineRule="auto"/>
        <w:rPr>
          <w:rFonts w:ascii="Times New Roman" w:hAnsi="Times New Roman"/>
          <w:sz w:val="28"/>
          <w:szCs w:val="28"/>
        </w:rPr>
      </w:pPr>
      <w:r w:rsidRPr="009B03E3">
        <w:rPr>
          <w:rFonts w:ascii="Times New Roman" w:hAnsi="Times New Roman"/>
          <w:sz w:val="28"/>
          <w:szCs w:val="28"/>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76"/>
        <w:gridCol w:w="1961"/>
        <w:gridCol w:w="8013"/>
      </w:tblGrid>
      <w:tr w:rsidR="009B03E3" w:rsidRPr="009B03E3" w14:paraId="29E1CEB7" w14:textId="77777777" w:rsidTr="00594580">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BA87D76" w14:textId="77777777" w:rsidR="005F3B40" w:rsidRPr="009B03E3" w:rsidRDefault="005F3B40" w:rsidP="003465C6">
            <w:pPr>
              <w:pStyle w:val="tvhtml"/>
              <w:spacing w:before="0" w:beforeAutospacing="0" w:after="0" w:afterAutospacing="0"/>
              <w:jc w:val="center"/>
              <w:rPr>
                <w:b/>
                <w:bCs/>
                <w:lang w:eastAsia="en-US"/>
              </w:rPr>
            </w:pPr>
            <w:r w:rsidRPr="009B03E3">
              <w:rPr>
                <w:b/>
                <w:bCs/>
                <w:lang w:eastAsia="en-US"/>
              </w:rPr>
              <w:t>I. Tiesību akta projekta izstrādes nepieciešamība</w:t>
            </w:r>
          </w:p>
        </w:tc>
      </w:tr>
      <w:tr w:rsidR="009B03E3" w:rsidRPr="009B03E3" w14:paraId="2BC19526" w14:textId="77777777" w:rsidTr="00594580">
        <w:tc>
          <w:tcPr>
            <w:tcW w:w="279" w:type="pct"/>
            <w:tcBorders>
              <w:top w:val="outset" w:sz="6" w:space="0" w:color="414142"/>
              <w:left w:val="outset" w:sz="6" w:space="0" w:color="414142"/>
              <w:bottom w:val="outset" w:sz="6" w:space="0" w:color="414142"/>
              <w:right w:val="outset" w:sz="6" w:space="0" w:color="414142"/>
            </w:tcBorders>
            <w:hideMark/>
          </w:tcPr>
          <w:p w14:paraId="56C41AD2" w14:textId="77777777" w:rsidR="005F3B40" w:rsidRPr="009B03E3" w:rsidRDefault="005F3B40" w:rsidP="003465C6">
            <w:pPr>
              <w:pStyle w:val="tvhtml"/>
              <w:spacing w:before="0" w:beforeAutospacing="0" w:after="0" w:afterAutospacing="0"/>
              <w:jc w:val="center"/>
              <w:rPr>
                <w:lang w:eastAsia="en-US"/>
              </w:rPr>
            </w:pPr>
            <w:r w:rsidRPr="009B03E3">
              <w:rPr>
                <w:lang w:eastAsia="en-US"/>
              </w:rPr>
              <w:t>1.</w:t>
            </w:r>
          </w:p>
        </w:tc>
        <w:tc>
          <w:tcPr>
            <w:tcW w:w="989" w:type="pct"/>
            <w:tcBorders>
              <w:top w:val="outset" w:sz="6" w:space="0" w:color="414142"/>
              <w:left w:val="outset" w:sz="6" w:space="0" w:color="414142"/>
              <w:bottom w:val="outset" w:sz="6" w:space="0" w:color="414142"/>
              <w:right w:val="outset" w:sz="6" w:space="0" w:color="414142"/>
            </w:tcBorders>
            <w:hideMark/>
          </w:tcPr>
          <w:p w14:paraId="3C45CA0C" w14:textId="77777777" w:rsidR="005F3B40" w:rsidRPr="009B03E3" w:rsidRDefault="005F3B40" w:rsidP="003465C6">
            <w:pPr>
              <w:spacing w:after="0" w:line="240" w:lineRule="auto"/>
              <w:rPr>
                <w:rFonts w:ascii="Times New Roman" w:hAnsi="Times New Roman"/>
                <w:sz w:val="24"/>
                <w:szCs w:val="24"/>
              </w:rPr>
            </w:pPr>
            <w:r w:rsidRPr="009B03E3">
              <w:rPr>
                <w:rFonts w:ascii="Times New Roman" w:hAnsi="Times New Roman"/>
                <w:sz w:val="24"/>
                <w:szCs w:val="24"/>
              </w:rPr>
              <w:t>Pamatojums</w:t>
            </w:r>
          </w:p>
        </w:tc>
        <w:tc>
          <w:tcPr>
            <w:tcW w:w="3732" w:type="pct"/>
            <w:tcBorders>
              <w:top w:val="outset" w:sz="6" w:space="0" w:color="414142"/>
              <w:left w:val="outset" w:sz="6" w:space="0" w:color="414142"/>
              <w:bottom w:val="outset" w:sz="6" w:space="0" w:color="414142"/>
              <w:right w:val="outset" w:sz="6" w:space="0" w:color="414142"/>
            </w:tcBorders>
            <w:hideMark/>
          </w:tcPr>
          <w:p w14:paraId="5C650D71" w14:textId="77777777" w:rsidR="005F3B40" w:rsidRPr="009B03E3" w:rsidRDefault="009C5617" w:rsidP="009C5617">
            <w:pPr>
              <w:spacing w:after="0" w:line="240" w:lineRule="auto"/>
              <w:jc w:val="both"/>
              <w:rPr>
                <w:rFonts w:ascii="Times New Roman" w:hAnsi="Times New Roman"/>
                <w:sz w:val="24"/>
                <w:szCs w:val="24"/>
              </w:rPr>
            </w:pPr>
            <w:r w:rsidRPr="009B03E3">
              <w:rPr>
                <w:rFonts w:ascii="Times New Roman" w:hAnsi="Times New Roman"/>
                <w:sz w:val="24"/>
                <w:szCs w:val="24"/>
              </w:rPr>
              <w:t xml:space="preserve">Ministru kabineta 2020.gada 26.maija sēdes </w:t>
            </w:r>
            <w:proofErr w:type="spellStart"/>
            <w:r w:rsidRPr="009B03E3">
              <w:rPr>
                <w:rFonts w:ascii="Times New Roman" w:hAnsi="Times New Roman"/>
                <w:sz w:val="24"/>
                <w:szCs w:val="24"/>
              </w:rPr>
              <w:t>protokollēmuma</w:t>
            </w:r>
            <w:proofErr w:type="spellEnd"/>
            <w:r w:rsidRPr="009B03E3">
              <w:rPr>
                <w:rFonts w:ascii="Times New Roman" w:hAnsi="Times New Roman"/>
                <w:sz w:val="24"/>
                <w:szCs w:val="24"/>
              </w:rPr>
              <w:t xml:space="preserve"> (prot.Nr.36 25.§) 3.punkts, kas paredz Satiksmes ministrijai Eiropas Elektronisko sakaru kodeksa ieviešanas ietvaros sagatavot un līdz 2020.gada 21.decembrim noteiktā kārtībā iesniegt izskatīšanai Ministru kabinetā noteikumu projektu, kas paredz noteikt ikgadējās valsts nodevas par numerācijas lietošanas tiesībām – no 2021.gada 1.janvāra pakalpojuma numuriem un </w:t>
            </w:r>
            <w:r w:rsidR="00F26769" w:rsidRPr="00F26769">
              <w:rPr>
                <w:rFonts w:ascii="Times New Roman" w:hAnsi="Times New Roman"/>
                <w:sz w:val="24"/>
                <w:szCs w:val="24"/>
              </w:rPr>
              <w:t>mašīna – mašīna sakar</w:t>
            </w:r>
            <w:r w:rsidR="005C7B5C">
              <w:rPr>
                <w:rFonts w:ascii="Times New Roman" w:hAnsi="Times New Roman"/>
                <w:sz w:val="24"/>
                <w:szCs w:val="24"/>
              </w:rPr>
              <w:t>u</w:t>
            </w:r>
            <w:r w:rsidR="00F26769" w:rsidRPr="00F26769">
              <w:rPr>
                <w:rFonts w:ascii="Times New Roman" w:hAnsi="Times New Roman"/>
                <w:sz w:val="24"/>
                <w:szCs w:val="24"/>
              </w:rPr>
              <w:t xml:space="preserve"> (</w:t>
            </w:r>
            <w:r w:rsidR="00F26769" w:rsidRPr="00F26769">
              <w:rPr>
                <w:rFonts w:ascii="Times New Roman" w:hAnsi="Times New Roman"/>
                <w:i/>
                <w:iCs/>
                <w:sz w:val="24"/>
                <w:szCs w:val="24"/>
              </w:rPr>
              <w:t>M2M</w:t>
            </w:r>
            <w:r w:rsidR="00F26769" w:rsidRPr="00F26769">
              <w:rPr>
                <w:rFonts w:ascii="Times New Roman" w:hAnsi="Times New Roman"/>
                <w:sz w:val="24"/>
                <w:szCs w:val="24"/>
              </w:rPr>
              <w:t xml:space="preserve">, jeb </w:t>
            </w:r>
            <w:proofErr w:type="spellStart"/>
            <w:r w:rsidR="00F26769" w:rsidRPr="00F26769">
              <w:rPr>
                <w:rFonts w:ascii="Times New Roman" w:hAnsi="Times New Roman"/>
                <w:i/>
                <w:sz w:val="24"/>
                <w:szCs w:val="24"/>
              </w:rPr>
              <w:t>Machine</w:t>
            </w:r>
            <w:proofErr w:type="spellEnd"/>
            <w:r w:rsidR="00F26769" w:rsidRPr="00F26769">
              <w:rPr>
                <w:rFonts w:ascii="Times New Roman" w:hAnsi="Times New Roman"/>
                <w:i/>
                <w:sz w:val="24"/>
                <w:szCs w:val="24"/>
              </w:rPr>
              <w:t xml:space="preserve"> to </w:t>
            </w:r>
            <w:proofErr w:type="spellStart"/>
            <w:r w:rsidR="00F26769" w:rsidRPr="00F26769">
              <w:rPr>
                <w:rFonts w:ascii="Times New Roman" w:hAnsi="Times New Roman"/>
                <w:i/>
                <w:sz w:val="24"/>
                <w:szCs w:val="24"/>
              </w:rPr>
              <w:t>Machine</w:t>
            </w:r>
            <w:proofErr w:type="spellEnd"/>
            <w:r w:rsidR="00F26769" w:rsidRPr="00F26769">
              <w:rPr>
                <w:rFonts w:ascii="Times New Roman" w:hAnsi="Times New Roman"/>
                <w:i/>
                <w:sz w:val="24"/>
                <w:szCs w:val="24"/>
              </w:rPr>
              <w:t xml:space="preserve"> </w:t>
            </w:r>
            <w:proofErr w:type="spellStart"/>
            <w:r w:rsidR="00F26769" w:rsidRPr="00F26769">
              <w:rPr>
                <w:rFonts w:ascii="Times New Roman" w:hAnsi="Times New Roman"/>
                <w:i/>
                <w:sz w:val="24"/>
                <w:szCs w:val="24"/>
                <w:shd w:val="clear" w:color="auto" w:fill="FFFFFF"/>
              </w:rPr>
              <w:t>communications</w:t>
            </w:r>
            <w:proofErr w:type="spellEnd"/>
            <w:r w:rsidR="00F26769" w:rsidRPr="00F26769">
              <w:rPr>
                <w:rFonts w:ascii="Times New Roman" w:hAnsi="Times New Roman"/>
                <w:sz w:val="24"/>
                <w:szCs w:val="24"/>
              </w:rPr>
              <w:t xml:space="preserve"> ar ko šeit saprot arī lietu interneta </w:t>
            </w:r>
            <w:proofErr w:type="spellStart"/>
            <w:r w:rsidR="00F26769" w:rsidRPr="00F26769">
              <w:rPr>
                <w:rFonts w:ascii="Times New Roman" w:hAnsi="Times New Roman"/>
                <w:i/>
                <w:iCs/>
                <w:sz w:val="24"/>
                <w:szCs w:val="24"/>
              </w:rPr>
              <w:t>IoT</w:t>
            </w:r>
            <w:proofErr w:type="spellEnd"/>
            <w:r w:rsidR="00F26769" w:rsidRPr="00F26769">
              <w:rPr>
                <w:rFonts w:ascii="Times New Roman" w:hAnsi="Times New Roman"/>
                <w:sz w:val="24"/>
                <w:szCs w:val="24"/>
              </w:rPr>
              <w:t xml:space="preserve">, jeb </w:t>
            </w:r>
            <w:r w:rsidR="00F26769" w:rsidRPr="00F26769">
              <w:rPr>
                <w:rFonts w:ascii="Times New Roman" w:hAnsi="Times New Roman"/>
                <w:i/>
                <w:iCs/>
                <w:sz w:val="24"/>
                <w:szCs w:val="24"/>
              </w:rPr>
              <w:t xml:space="preserve">Internet </w:t>
            </w:r>
            <w:proofErr w:type="spellStart"/>
            <w:r w:rsidR="00F26769" w:rsidRPr="00F26769">
              <w:rPr>
                <w:rFonts w:ascii="Times New Roman" w:hAnsi="Times New Roman"/>
                <w:i/>
                <w:iCs/>
                <w:sz w:val="24"/>
                <w:szCs w:val="24"/>
              </w:rPr>
              <w:t>of</w:t>
            </w:r>
            <w:proofErr w:type="spellEnd"/>
            <w:r w:rsidR="00F26769" w:rsidRPr="00F26769">
              <w:rPr>
                <w:rFonts w:ascii="Times New Roman" w:hAnsi="Times New Roman"/>
                <w:i/>
                <w:iCs/>
                <w:sz w:val="24"/>
                <w:szCs w:val="24"/>
              </w:rPr>
              <w:t xml:space="preserve"> </w:t>
            </w:r>
            <w:proofErr w:type="spellStart"/>
            <w:r w:rsidR="00F26769" w:rsidRPr="00F26769">
              <w:rPr>
                <w:rFonts w:ascii="Times New Roman" w:hAnsi="Times New Roman"/>
                <w:i/>
                <w:iCs/>
                <w:sz w:val="24"/>
                <w:szCs w:val="24"/>
              </w:rPr>
              <w:t>Things</w:t>
            </w:r>
            <w:proofErr w:type="spellEnd"/>
            <w:r w:rsidR="00F26769" w:rsidRPr="00F26769">
              <w:rPr>
                <w:rFonts w:ascii="Times New Roman" w:hAnsi="Times New Roman"/>
                <w:i/>
                <w:iCs/>
                <w:sz w:val="24"/>
                <w:szCs w:val="24"/>
              </w:rPr>
              <w:t xml:space="preserve">, </w:t>
            </w:r>
            <w:r w:rsidR="00F26769" w:rsidRPr="00F26769">
              <w:rPr>
                <w:rFonts w:ascii="Times New Roman" w:hAnsi="Times New Roman"/>
                <w:sz w:val="24"/>
                <w:szCs w:val="24"/>
              </w:rPr>
              <w:t xml:space="preserve">turpmāk abi kopā </w:t>
            </w:r>
            <w:r w:rsidR="005C7B5C">
              <w:rPr>
                <w:rFonts w:ascii="Times New Roman" w:hAnsi="Times New Roman"/>
                <w:sz w:val="24"/>
                <w:szCs w:val="24"/>
              </w:rPr>
              <w:t xml:space="preserve">- </w:t>
            </w:r>
            <w:proofErr w:type="spellStart"/>
            <w:r w:rsidR="00F26769" w:rsidRPr="00F26769">
              <w:rPr>
                <w:rFonts w:ascii="Times New Roman" w:hAnsi="Times New Roman"/>
                <w:i/>
                <w:iCs/>
                <w:sz w:val="24"/>
                <w:szCs w:val="24"/>
              </w:rPr>
              <w:t>IoT</w:t>
            </w:r>
            <w:proofErr w:type="spellEnd"/>
            <w:r w:rsidR="00F26769" w:rsidRPr="00F26769">
              <w:rPr>
                <w:rFonts w:ascii="Times New Roman" w:hAnsi="Times New Roman"/>
                <w:i/>
                <w:iCs/>
                <w:sz w:val="24"/>
                <w:szCs w:val="24"/>
              </w:rPr>
              <w:t>/M2M</w:t>
            </w:r>
            <w:r w:rsidR="00F26769" w:rsidRPr="00F26769">
              <w:rPr>
                <w:rFonts w:ascii="Times New Roman" w:hAnsi="Times New Roman"/>
                <w:sz w:val="24"/>
                <w:szCs w:val="24"/>
              </w:rPr>
              <w:t xml:space="preserve">) </w:t>
            </w:r>
            <w:r w:rsidR="00BD0730" w:rsidRPr="00BD0730">
              <w:rPr>
                <w:rFonts w:ascii="Times New Roman" w:hAnsi="Times New Roman"/>
                <w:sz w:val="24"/>
                <w:szCs w:val="24"/>
              </w:rPr>
              <w:t>numuriem</w:t>
            </w:r>
            <w:r w:rsidRPr="009B03E3">
              <w:rPr>
                <w:rFonts w:ascii="Times New Roman" w:hAnsi="Times New Roman"/>
                <w:sz w:val="24"/>
                <w:szCs w:val="24"/>
              </w:rPr>
              <w:t xml:space="preserve"> un no 2022.gada 1.janvāra nacionālajiem numuriem (publiskā fiksētā </w:t>
            </w:r>
            <w:r w:rsidR="00B963E3" w:rsidRPr="009B03E3">
              <w:rPr>
                <w:rFonts w:ascii="Times New Roman" w:hAnsi="Times New Roman"/>
                <w:sz w:val="24"/>
                <w:szCs w:val="24"/>
              </w:rPr>
              <w:t xml:space="preserve">telefonu tīkla numuriem </w:t>
            </w:r>
            <w:r w:rsidRPr="009B03E3">
              <w:rPr>
                <w:rFonts w:ascii="Times New Roman" w:hAnsi="Times New Roman"/>
                <w:sz w:val="24"/>
                <w:szCs w:val="24"/>
              </w:rPr>
              <w:t>un publiskā mobilā telefonu tīkla numuriem).</w:t>
            </w:r>
          </w:p>
        </w:tc>
      </w:tr>
      <w:tr w:rsidR="009B03E3" w:rsidRPr="009B03E3" w14:paraId="0742C960" w14:textId="77777777" w:rsidTr="00594580">
        <w:tc>
          <w:tcPr>
            <w:tcW w:w="279" w:type="pct"/>
            <w:tcBorders>
              <w:top w:val="outset" w:sz="6" w:space="0" w:color="414142"/>
              <w:left w:val="outset" w:sz="6" w:space="0" w:color="414142"/>
              <w:bottom w:val="outset" w:sz="6" w:space="0" w:color="414142"/>
              <w:right w:val="outset" w:sz="6" w:space="0" w:color="414142"/>
            </w:tcBorders>
            <w:hideMark/>
          </w:tcPr>
          <w:p w14:paraId="3C839844" w14:textId="77777777" w:rsidR="005F3B40" w:rsidRPr="009B03E3" w:rsidRDefault="005F3B40" w:rsidP="003465C6">
            <w:pPr>
              <w:pStyle w:val="tvhtml"/>
              <w:spacing w:before="0" w:beforeAutospacing="0" w:after="0" w:afterAutospacing="0"/>
              <w:jc w:val="center"/>
              <w:rPr>
                <w:lang w:eastAsia="en-US"/>
              </w:rPr>
            </w:pPr>
            <w:r w:rsidRPr="009B03E3">
              <w:rPr>
                <w:lang w:eastAsia="en-US"/>
              </w:rPr>
              <w:t>2.</w:t>
            </w:r>
          </w:p>
        </w:tc>
        <w:tc>
          <w:tcPr>
            <w:tcW w:w="989" w:type="pct"/>
            <w:tcBorders>
              <w:top w:val="outset" w:sz="6" w:space="0" w:color="414142"/>
              <w:left w:val="outset" w:sz="6" w:space="0" w:color="414142"/>
              <w:bottom w:val="outset" w:sz="6" w:space="0" w:color="414142"/>
              <w:right w:val="outset" w:sz="6" w:space="0" w:color="414142"/>
            </w:tcBorders>
          </w:tcPr>
          <w:p w14:paraId="1F752ACB" w14:textId="77777777" w:rsidR="005F3B40" w:rsidRPr="009B03E3" w:rsidRDefault="005F3B40" w:rsidP="003465C6">
            <w:pPr>
              <w:spacing w:after="0" w:line="240" w:lineRule="auto"/>
              <w:rPr>
                <w:rFonts w:ascii="Times New Roman" w:hAnsi="Times New Roman"/>
                <w:sz w:val="24"/>
                <w:szCs w:val="24"/>
              </w:rPr>
            </w:pPr>
            <w:r w:rsidRPr="009B03E3">
              <w:rPr>
                <w:rFonts w:ascii="Times New Roman" w:hAnsi="Times New Roman"/>
                <w:sz w:val="24"/>
                <w:szCs w:val="24"/>
              </w:rPr>
              <w:t>Pašreizējā situācija un problēmas, kuru risināšanai tiesību akta projekts izstrādāts, tiesiskā regulējuma mērķis un būtība</w:t>
            </w:r>
          </w:p>
        </w:tc>
        <w:tc>
          <w:tcPr>
            <w:tcW w:w="3732" w:type="pct"/>
            <w:tcBorders>
              <w:top w:val="outset" w:sz="6" w:space="0" w:color="414142"/>
              <w:left w:val="outset" w:sz="6" w:space="0" w:color="414142"/>
              <w:bottom w:val="outset" w:sz="6" w:space="0" w:color="414142"/>
              <w:right w:val="outset" w:sz="6" w:space="0" w:color="414142"/>
            </w:tcBorders>
          </w:tcPr>
          <w:p w14:paraId="6CF76929" w14:textId="77777777" w:rsidR="008925A3" w:rsidRPr="009B03E3" w:rsidRDefault="008925A3" w:rsidP="00ED70C4">
            <w:pPr>
              <w:spacing w:after="0" w:line="240" w:lineRule="auto"/>
              <w:jc w:val="both"/>
              <w:rPr>
                <w:rFonts w:ascii="Times New Roman" w:eastAsia="Times New Roman" w:hAnsi="Times New Roman"/>
                <w:sz w:val="24"/>
                <w:szCs w:val="24"/>
              </w:rPr>
            </w:pPr>
            <w:r w:rsidRPr="009B03E3">
              <w:rPr>
                <w:rFonts w:ascii="Times New Roman" w:eastAsia="Times New Roman" w:hAnsi="Times New Roman"/>
                <w:sz w:val="24"/>
                <w:szCs w:val="24"/>
              </w:rPr>
              <w:t xml:space="preserve">Ministru kabinets 2020.gada 26.maija sēdē </w:t>
            </w:r>
            <w:r w:rsidR="00D73A23" w:rsidRPr="009B03E3">
              <w:rPr>
                <w:rFonts w:ascii="Times New Roman" w:hAnsi="Times New Roman"/>
                <w:sz w:val="24"/>
                <w:szCs w:val="24"/>
              </w:rPr>
              <w:t xml:space="preserve">(prot.Nr.36 25.§) </w:t>
            </w:r>
            <w:r w:rsidRPr="009B03E3">
              <w:rPr>
                <w:rFonts w:ascii="Times New Roman" w:eastAsia="Times New Roman" w:hAnsi="Times New Roman"/>
                <w:sz w:val="24"/>
                <w:szCs w:val="24"/>
              </w:rPr>
              <w:t xml:space="preserve">atbalstīja Satiksmes ministrijas sagatavoto informatīvo ziņojumu </w:t>
            </w:r>
            <w:r w:rsidR="00033B2C">
              <w:rPr>
                <w:rFonts w:ascii="Times New Roman" w:eastAsia="Times New Roman" w:hAnsi="Times New Roman"/>
                <w:sz w:val="24"/>
                <w:szCs w:val="24"/>
              </w:rPr>
              <w:t>“</w:t>
            </w:r>
            <w:r w:rsidRPr="009B03E3">
              <w:rPr>
                <w:rFonts w:ascii="Times New Roman" w:eastAsia="Times New Roman" w:hAnsi="Times New Roman"/>
                <w:sz w:val="24"/>
                <w:szCs w:val="24"/>
              </w:rPr>
              <w:t>Par numerācijas resursu maksājumu un nepieciešamību iedalīt numerācijas resursus lietu internetam un mašīnas-mašīnas sakaru pakalpojumiem</w:t>
            </w:r>
            <w:r w:rsidR="00033B2C">
              <w:rPr>
                <w:rFonts w:ascii="Times New Roman" w:eastAsia="Times New Roman" w:hAnsi="Times New Roman"/>
                <w:sz w:val="24"/>
                <w:szCs w:val="24"/>
              </w:rPr>
              <w:t>”</w:t>
            </w:r>
            <w:r w:rsidR="00D73A23" w:rsidRPr="009B03E3">
              <w:rPr>
                <w:rFonts w:ascii="Times New Roman" w:eastAsia="Times New Roman" w:hAnsi="Times New Roman"/>
                <w:sz w:val="24"/>
                <w:szCs w:val="24"/>
              </w:rPr>
              <w:t xml:space="preserve"> (turpmāk – informatīvais ziņojums)</w:t>
            </w:r>
            <w:r w:rsidRPr="009B03E3">
              <w:rPr>
                <w:rFonts w:ascii="Times New Roman" w:eastAsia="Times New Roman" w:hAnsi="Times New Roman"/>
                <w:sz w:val="24"/>
                <w:szCs w:val="24"/>
              </w:rPr>
              <w:t>, kā arī lēma par piedāvāt</w:t>
            </w:r>
            <w:r w:rsidR="00D73A23" w:rsidRPr="009B03E3">
              <w:rPr>
                <w:rFonts w:ascii="Times New Roman" w:eastAsia="Times New Roman" w:hAnsi="Times New Roman"/>
                <w:sz w:val="24"/>
                <w:szCs w:val="24"/>
              </w:rPr>
              <w:t>ā</w:t>
            </w:r>
            <w:r w:rsidRPr="009B03E3">
              <w:rPr>
                <w:rFonts w:ascii="Times New Roman" w:eastAsia="Times New Roman" w:hAnsi="Times New Roman"/>
                <w:sz w:val="24"/>
                <w:szCs w:val="24"/>
              </w:rPr>
              <w:t xml:space="preserve"> risinājum</w:t>
            </w:r>
            <w:r w:rsidR="00D73A23" w:rsidRPr="009B03E3">
              <w:rPr>
                <w:rFonts w:ascii="Times New Roman" w:eastAsia="Times New Roman" w:hAnsi="Times New Roman"/>
                <w:sz w:val="24"/>
                <w:szCs w:val="24"/>
              </w:rPr>
              <w:t xml:space="preserve">a - </w:t>
            </w:r>
            <w:r w:rsidRPr="009B03E3">
              <w:rPr>
                <w:rFonts w:ascii="Times New Roman" w:eastAsia="Times New Roman" w:hAnsi="Times New Roman"/>
                <w:sz w:val="24"/>
                <w:szCs w:val="24"/>
              </w:rPr>
              <w:t xml:space="preserve"> noteikt  ikgadējo valsts nodevu par numerācijas lietošanas tiesībām (turpmāk – Nodeva)</w:t>
            </w:r>
            <w:r w:rsidR="00D73A23" w:rsidRPr="009B03E3">
              <w:rPr>
                <w:rFonts w:ascii="Times New Roman" w:eastAsia="Times New Roman" w:hAnsi="Times New Roman"/>
                <w:sz w:val="24"/>
                <w:szCs w:val="24"/>
              </w:rPr>
              <w:t xml:space="preserve"> atbalstīšanu</w:t>
            </w:r>
            <w:r w:rsidRPr="009B03E3">
              <w:rPr>
                <w:rFonts w:ascii="Times New Roman" w:eastAsia="Times New Roman" w:hAnsi="Times New Roman"/>
                <w:sz w:val="24"/>
                <w:szCs w:val="24"/>
              </w:rPr>
              <w:t>.</w:t>
            </w:r>
          </w:p>
          <w:p w14:paraId="6A8A4BAB" w14:textId="77777777" w:rsidR="009C5617" w:rsidRPr="009B03E3" w:rsidRDefault="009C5617" w:rsidP="00ED70C4">
            <w:pPr>
              <w:spacing w:after="0" w:line="240" w:lineRule="auto"/>
              <w:jc w:val="both"/>
              <w:rPr>
                <w:rFonts w:ascii="Times New Roman" w:eastAsia="Times New Roman" w:hAnsi="Times New Roman"/>
                <w:sz w:val="24"/>
                <w:szCs w:val="24"/>
              </w:rPr>
            </w:pPr>
            <w:r w:rsidRPr="009B03E3">
              <w:rPr>
                <w:rFonts w:ascii="Times New Roman" w:eastAsia="Times New Roman" w:hAnsi="Times New Roman"/>
                <w:sz w:val="24"/>
                <w:szCs w:val="24"/>
              </w:rPr>
              <w:t xml:space="preserve">Saskaņā ar Elektronisko sakaru likuma 58.panta pirmo daļu par numerācijas lietošanas tiesībām maksājama </w:t>
            </w:r>
            <w:r w:rsidR="008925A3" w:rsidRPr="009B03E3">
              <w:rPr>
                <w:rFonts w:ascii="Times New Roman" w:eastAsia="Times New Roman" w:hAnsi="Times New Roman"/>
                <w:sz w:val="24"/>
                <w:szCs w:val="24"/>
              </w:rPr>
              <w:t>N</w:t>
            </w:r>
            <w:r w:rsidRPr="009B03E3">
              <w:rPr>
                <w:rFonts w:ascii="Times New Roman" w:eastAsia="Times New Roman" w:hAnsi="Times New Roman"/>
                <w:sz w:val="24"/>
                <w:szCs w:val="24"/>
              </w:rPr>
              <w:t xml:space="preserve">odeva, kuras likmes, maksāšanas kārtību un atvieglojumus nosaka Ministru kabinets. </w:t>
            </w:r>
            <w:r w:rsidR="008925A3" w:rsidRPr="009B03E3">
              <w:rPr>
                <w:rFonts w:ascii="Times New Roman" w:hAnsi="Times New Roman"/>
                <w:sz w:val="24"/>
                <w:szCs w:val="24"/>
                <w:lang w:bidi="lv-LV"/>
              </w:rPr>
              <w:t>Elektronisko sakaru likuma 58.panta otrā daļa nosaka, kā Nodevu ieskaita valsts budžetā, un no dotācijas no vispārējiem ieņēmumiem tiek nodrošināts finansējums elektronisko sakaru nozares politikas īstenošanai.</w:t>
            </w:r>
          </w:p>
          <w:p w14:paraId="5685D009" w14:textId="1144A352" w:rsidR="00ED70C4" w:rsidRPr="009B03E3" w:rsidRDefault="009C5617" w:rsidP="009C5617">
            <w:pPr>
              <w:pStyle w:val="BodyText3"/>
              <w:shd w:val="clear" w:color="auto" w:fill="auto"/>
              <w:spacing w:before="0" w:after="0" w:line="240" w:lineRule="auto"/>
              <w:ind w:firstLine="0"/>
              <w:jc w:val="both"/>
              <w:rPr>
                <w:rFonts w:ascii="Times New Roman" w:hAnsi="Times New Roman" w:cs="Times New Roman"/>
                <w:sz w:val="24"/>
                <w:szCs w:val="24"/>
                <w:lang w:bidi="lv-LV"/>
              </w:rPr>
            </w:pPr>
            <w:r w:rsidRPr="009B03E3">
              <w:rPr>
                <w:rFonts w:ascii="Times New Roman" w:eastAsia="Times New Roman" w:hAnsi="Times New Roman" w:cs="Times New Roman"/>
                <w:sz w:val="24"/>
                <w:szCs w:val="24"/>
              </w:rPr>
              <w:t xml:space="preserve">Ministru kabineta 2009.gada 11.augusta noteikumu Nr.892 </w:t>
            </w:r>
            <w:r w:rsidR="00033B2C">
              <w:rPr>
                <w:rFonts w:ascii="Times New Roman" w:eastAsia="Times New Roman" w:hAnsi="Times New Roman" w:cs="Times New Roman"/>
                <w:sz w:val="24"/>
                <w:szCs w:val="24"/>
              </w:rPr>
              <w:t>“</w:t>
            </w:r>
            <w:r w:rsidRPr="009B03E3">
              <w:rPr>
                <w:rFonts w:ascii="Times New Roman" w:eastAsia="Times New Roman" w:hAnsi="Times New Roman" w:cs="Times New Roman"/>
                <w:sz w:val="24"/>
                <w:szCs w:val="24"/>
              </w:rPr>
              <w:t>Noteikumi par numerācijas lietošanas tiesību ikgadējo valsts nodevu</w:t>
            </w:r>
            <w:r w:rsidR="00033B2C">
              <w:rPr>
                <w:rFonts w:ascii="Times New Roman" w:eastAsia="Times New Roman" w:hAnsi="Times New Roman" w:cs="Times New Roman"/>
                <w:sz w:val="24"/>
                <w:szCs w:val="24"/>
              </w:rPr>
              <w:t>”</w:t>
            </w:r>
            <w:r w:rsidRPr="009B03E3">
              <w:rPr>
                <w:rFonts w:ascii="Times New Roman" w:eastAsia="Times New Roman" w:hAnsi="Times New Roman" w:cs="Times New Roman"/>
                <w:sz w:val="24"/>
                <w:szCs w:val="24"/>
              </w:rPr>
              <w:t xml:space="preserve"> (turpmāk – Noteikumi</w:t>
            </w:r>
            <w:r w:rsidR="00AF3ADD" w:rsidRPr="009B03E3">
              <w:rPr>
                <w:rFonts w:ascii="Times New Roman" w:eastAsia="Times New Roman" w:hAnsi="Times New Roman" w:cs="Times New Roman"/>
                <w:sz w:val="24"/>
                <w:szCs w:val="24"/>
              </w:rPr>
              <w:t xml:space="preserve"> Nr.892</w:t>
            </w:r>
            <w:r w:rsidRPr="009B03E3">
              <w:rPr>
                <w:rFonts w:ascii="Times New Roman" w:eastAsia="Times New Roman" w:hAnsi="Times New Roman" w:cs="Times New Roman"/>
                <w:sz w:val="24"/>
                <w:szCs w:val="24"/>
              </w:rPr>
              <w:t>) 2.punkts no</w:t>
            </w:r>
            <w:r w:rsidR="00ED70C4" w:rsidRPr="009B03E3">
              <w:rPr>
                <w:rFonts w:ascii="Times New Roman" w:eastAsia="Times New Roman" w:hAnsi="Times New Roman" w:cs="Times New Roman"/>
                <w:sz w:val="24"/>
                <w:szCs w:val="24"/>
              </w:rPr>
              <w:t>saka</w:t>
            </w:r>
            <w:r w:rsidRPr="009B03E3">
              <w:rPr>
                <w:rFonts w:ascii="Times New Roman" w:eastAsia="Times New Roman" w:hAnsi="Times New Roman" w:cs="Times New Roman"/>
                <w:sz w:val="24"/>
                <w:szCs w:val="24"/>
              </w:rPr>
              <w:t xml:space="preserve">, ka </w:t>
            </w:r>
            <w:r w:rsidR="008925A3" w:rsidRPr="009B03E3">
              <w:rPr>
                <w:rFonts w:ascii="Times New Roman" w:eastAsia="Times New Roman" w:hAnsi="Times New Roman" w:cs="Times New Roman"/>
                <w:sz w:val="24"/>
                <w:szCs w:val="24"/>
              </w:rPr>
              <w:t>N</w:t>
            </w:r>
            <w:r w:rsidRPr="009B03E3">
              <w:rPr>
                <w:rFonts w:ascii="Times New Roman" w:eastAsia="Times New Roman" w:hAnsi="Times New Roman" w:cs="Times New Roman"/>
                <w:sz w:val="24"/>
                <w:szCs w:val="24"/>
              </w:rPr>
              <w:t xml:space="preserve">odevu maksā elektronisko sakaru komersants, kuram ir piešķirtas vai piešķirtas un pagarinātas īso kodu lietošanas tiesības. </w:t>
            </w:r>
            <w:r w:rsidR="00ED70C4" w:rsidRPr="009B03E3">
              <w:rPr>
                <w:rFonts w:ascii="Times New Roman" w:eastAsia="Times New Roman" w:hAnsi="Times New Roman" w:cs="Times New Roman"/>
                <w:sz w:val="24"/>
                <w:szCs w:val="24"/>
              </w:rPr>
              <w:t>Līdz ar to N</w:t>
            </w:r>
            <w:r w:rsidRPr="009B03E3">
              <w:rPr>
                <w:rFonts w:ascii="Times New Roman" w:hAnsi="Times New Roman" w:cs="Times New Roman"/>
                <w:sz w:val="24"/>
                <w:szCs w:val="24"/>
                <w:lang w:bidi="lv-LV"/>
              </w:rPr>
              <w:t xml:space="preserve">odeva </w:t>
            </w:r>
            <w:r w:rsidR="00ED70C4" w:rsidRPr="009B03E3">
              <w:rPr>
                <w:rFonts w:ascii="Times New Roman" w:hAnsi="Times New Roman" w:cs="Times New Roman"/>
                <w:sz w:val="24"/>
                <w:szCs w:val="24"/>
                <w:lang w:bidi="lv-LV"/>
              </w:rPr>
              <w:t xml:space="preserve">līdz šim </w:t>
            </w:r>
            <w:r w:rsidRPr="009B03E3">
              <w:rPr>
                <w:rFonts w:ascii="Times New Roman" w:hAnsi="Times New Roman" w:cs="Times New Roman"/>
                <w:sz w:val="24"/>
                <w:szCs w:val="24"/>
                <w:lang w:bidi="lv-LV"/>
              </w:rPr>
              <w:t>nav attiecināta uz visiem numuriem, k</w:t>
            </w:r>
            <w:r w:rsidR="008925A3" w:rsidRPr="009B03E3">
              <w:rPr>
                <w:rFonts w:ascii="Times New Roman" w:hAnsi="Times New Roman" w:cs="Times New Roman"/>
                <w:sz w:val="24"/>
                <w:szCs w:val="24"/>
                <w:lang w:bidi="lv-LV"/>
              </w:rPr>
              <w:t>uri</w:t>
            </w:r>
            <w:r w:rsidRPr="009B03E3">
              <w:rPr>
                <w:rFonts w:ascii="Times New Roman" w:hAnsi="Times New Roman" w:cs="Times New Roman"/>
                <w:sz w:val="24"/>
                <w:szCs w:val="24"/>
                <w:lang w:bidi="lv-LV"/>
              </w:rPr>
              <w:t xml:space="preserve"> ir </w:t>
            </w:r>
            <w:r w:rsidR="008925A3" w:rsidRPr="009B03E3">
              <w:rPr>
                <w:rFonts w:ascii="Times New Roman" w:hAnsi="Times New Roman" w:cs="Times New Roman"/>
                <w:sz w:val="24"/>
                <w:szCs w:val="24"/>
                <w:lang w:bidi="lv-LV"/>
              </w:rPr>
              <w:t>iekļauti</w:t>
            </w:r>
            <w:r w:rsidRPr="009B03E3">
              <w:rPr>
                <w:rFonts w:ascii="Times New Roman" w:hAnsi="Times New Roman" w:cs="Times New Roman"/>
                <w:sz w:val="24"/>
                <w:szCs w:val="24"/>
                <w:lang w:bidi="lv-LV"/>
              </w:rPr>
              <w:t xml:space="preserve"> Nacionāl</w:t>
            </w:r>
            <w:r w:rsidR="00382C76">
              <w:rPr>
                <w:rFonts w:ascii="Times New Roman" w:hAnsi="Times New Roman" w:cs="Times New Roman"/>
                <w:sz w:val="24"/>
                <w:szCs w:val="24"/>
                <w:lang w:bidi="lv-LV"/>
              </w:rPr>
              <w:t>ajā</w:t>
            </w:r>
            <w:r w:rsidRPr="009B03E3">
              <w:rPr>
                <w:rFonts w:ascii="Times New Roman" w:hAnsi="Times New Roman" w:cs="Times New Roman"/>
                <w:sz w:val="24"/>
                <w:szCs w:val="24"/>
                <w:lang w:bidi="lv-LV"/>
              </w:rPr>
              <w:t xml:space="preserve"> numerācijas plān</w:t>
            </w:r>
            <w:r w:rsidR="00382C76">
              <w:rPr>
                <w:rFonts w:ascii="Times New Roman" w:hAnsi="Times New Roman" w:cs="Times New Roman"/>
                <w:sz w:val="24"/>
                <w:szCs w:val="24"/>
                <w:lang w:bidi="lv-LV"/>
              </w:rPr>
              <w:t>ā</w:t>
            </w:r>
            <w:r w:rsidRPr="009B03E3">
              <w:rPr>
                <w:rFonts w:ascii="Times New Roman" w:hAnsi="Times New Roman" w:cs="Times New Roman"/>
                <w:sz w:val="24"/>
                <w:szCs w:val="24"/>
                <w:lang w:bidi="lv-LV"/>
              </w:rPr>
              <w:t xml:space="preserve">. </w:t>
            </w:r>
          </w:p>
          <w:p w14:paraId="668ADF34" w14:textId="77777777" w:rsidR="00A65BD3" w:rsidRDefault="009C5617" w:rsidP="00A65BD3">
            <w:pPr>
              <w:pStyle w:val="BodyText3"/>
              <w:shd w:val="clear" w:color="auto" w:fill="auto"/>
              <w:spacing w:before="0" w:after="0" w:line="240" w:lineRule="auto"/>
              <w:ind w:firstLine="0"/>
              <w:jc w:val="both"/>
              <w:rPr>
                <w:rFonts w:ascii="Times New Roman" w:hAnsi="Times New Roman" w:cs="Times New Roman"/>
                <w:sz w:val="24"/>
                <w:szCs w:val="24"/>
                <w:lang w:bidi="lv-LV"/>
              </w:rPr>
            </w:pPr>
            <w:r w:rsidRPr="009B03E3">
              <w:rPr>
                <w:rFonts w:ascii="Times New Roman" w:hAnsi="Times New Roman" w:cs="Times New Roman"/>
                <w:sz w:val="24"/>
                <w:szCs w:val="24"/>
                <w:lang w:bidi="lv-LV"/>
              </w:rPr>
              <w:t>Eiropas Parlamenta un Padomes 2002.gada 7.marta direktīv</w:t>
            </w:r>
            <w:r w:rsidR="008925A3" w:rsidRPr="009B03E3">
              <w:rPr>
                <w:rFonts w:ascii="Times New Roman" w:hAnsi="Times New Roman" w:cs="Times New Roman"/>
                <w:sz w:val="24"/>
                <w:szCs w:val="24"/>
                <w:lang w:bidi="lv-LV"/>
              </w:rPr>
              <w:t>as</w:t>
            </w:r>
            <w:r w:rsidRPr="009B03E3">
              <w:rPr>
                <w:rFonts w:ascii="Times New Roman" w:hAnsi="Times New Roman" w:cs="Times New Roman"/>
                <w:sz w:val="24"/>
                <w:szCs w:val="24"/>
                <w:lang w:bidi="lv-LV"/>
              </w:rPr>
              <w:t xml:space="preserve"> 2002/20/EK par elektronisko komunikāciju tīklu un pakalpojumu atļaušanu (atļauju izsniegšanas direktīva) preambulas 32.apsvērumā un 13.pantā ir noteiktas dalībvalsts tiesības iekasēt maksu par radio frekvenču un numuru izmantošanu kā instrumentu, lai nodrošinātu šādu resursu optimālu izmantošanu. </w:t>
            </w:r>
          </w:p>
          <w:p w14:paraId="78A1CA58" w14:textId="0A7090DA" w:rsidR="00A65BD3" w:rsidRPr="009B03E3" w:rsidRDefault="00D622C1" w:rsidP="00A65BD3">
            <w:pPr>
              <w:pStyle w:val="BodyText3"/>
              <w:shd w:val="clear" w:color="auto" w:fill="auto"/>
              <w:spacing w:before="0" w:after="0" w:line="240" w:lineRule="auto"/>
              <w:ind w:firstLine="0"/>
              <w:jc w:val="both"/>
              <w:rPr>
                <w:rFonts w:ascii="Times New Roman" w:hAnsi="Times New Roman" w:cs="Times New Roman"/>
                <w:sz w:val="24"/>
                <w:szCs w:val="24"/>
                <w:lang w:bidi="lv-LV"/>
              </w:rPr>
            </w:pPr>
            <w:r>
              <w:rPr>
                <w:rFonts w:ascii="Times New Roman" w:hAnsi="Times New Roman" w:cs="Times New Roman"/>
                <w:sz w:val="24"/>
                <w:szCs w:val="24"/>
                <w:lang w:bidi="lv-LV"/>
              </w:rPr>
              <w:t>Saskaņā ar</w:t>
            </w:r>
            <w:r w:rsidR="00A65BD3" w:rsidRPr="00A65BD3">
              <w:rPr>
                <w:rFonts w:ascii="Times New Roman" w:hAnsi="Times New Roman" w:cs="Times New Roman"/>
                <w:sz w:val="24"/>
                <w:szCs w:val="24"/>
                <w:lang w:bidi="lv-LV"/>
              </w:rPr>
              <w:t xml:space="preserve"> Eiropas Parlamenta un Padomes 2018.gada 11.decembra direktīva</w:t>
            </w:r>
            <w:r>
              <w:rPr>
                <w:rFonts w:ascii="Times New Roman" w:hAnsi="Times New Roman" w:cs="Times New Roman"/>
                <w:sz w:val="24"/>
                <w:szCs w:val="24"/>
                <w:lang w:bidi="lv-LV"/>
              </w:rPr>
              <w:t>s</w:t>
            </w:r>
            <w:r w:rsidR="00A65BD3" w:rsidRPr="00A65BD3">
              <w:rPr>
                <w:rFonts w:ascii="Times New Roman" w:hAnsi="Times New Roman" w:cs="Times New Roman"/>
                <w:sz w:val="24"/>
                <w:szCs w:val="24"/>
                <w:lang w:bidi="lv-LV"/>
              </w:rPr>
              <w:t xml:space="preserve"> Nr.2018/1972/ES par Eiropas Elektronisko sakaru kodeksa izveidi (turpmāk – Direktīva) 9</w:t>
            </w:r>
            <w:r w:rsidR="00A65BD3">
              <w:rPr>
                <w:rFonts w:ascii="Times New Roman" w:hAnsi="Times New Roman" w:cs="Times New Roman"/>
                <w:sz w:val="24"/>
                <w:szCs w:val="24"/>
                <w:lang w:bidi="lv-LV"/>
              </w:rPr>
              <w:t>5</w:t>
            </w:r>
            <w:r w:rsidR="00A65BD3" w:rsidRPr="00A65BD3">
              <w:rPr>
                <w:rFonts w:ascii="Times New Roman" w:hAnsi="Times New Roman" w:cs="Times New Roman"/>
                <w:sz w:val="24"/>
                <w:szCs w:val="24"/>
                <w:lang w:bidi="lv-LV"/>
              </w:rPr>
              <w:t>.pant</w:t>
            </w:r>
            <w:r>
              <w:rPr>
                <w:rFonts w:ascii="Times New Roman" w:hAnsi="Times New Roman" w:cs="Times New Roman"/>
                <w:sz w:val="24"/>
                <w:szCs w:val="24"/>
                <w:lang w:bidi="lv-LV"/>
              </w:rPr>
              <w:t xml:space="preserve">u </w:t>
            </w:r>
            <w:r w:rsidR="00A65BD3">
              <w:rPr>
                <w:rFonts w:ascii="Times New Roman" w:hAnsi="Times New Roman" w:cs="Times New Roman"/>
                <w:sz w:val="24"/>
                <w:szCs w:val="24"/>
                <w:lang w:bidi="lv-LV"/>
              </w:rPr>
              <w:t>d</w:t>
            </w:r>
            <w:r w:rsidR="00A65BD3" w:rsidRPr="00A65BD3">
              <w:rPr>
                <w:rFonts w:ascii="Times New Roman" w:hAnsi="Times New Roman" w:cs="Times New Roman"/>
                <w:sz w:val="24"/>
                <w:szCs w:val="24"/>
                <w:lang w:bidi="lv-LV"/>
              </w:rPr>
              <w:t xml:space="preserve">alībvalstis var ļaut valsts regulatīvajām vai citām </w:t>
            </w:r>
            <w:r w:rsidR="00A65BD3" w:rsidRPr="00A65BD3">
              <w:rPr>
                <w:rFonts w:ascii="Times New Roman" w:hAnsi="Times New Roman" w:cs="Times New Roman"/>
                <w:sz w:val="24"/>
                <w:szCs w:val="24"/>
                <w:lang w:bidi="lv-LV"/>
              </w:rPr>
              <w:lastRenderedPageBreak/>
              <w:t>kompetentajām iestādēm uzlikt tādu maksu par tiesībām izmantot</w:t>
            </w:r>
            <w:r w:rsidR="00A65BD3">
              <w:rPr>
                <w:rFonts w:ascii="Times New Roman" w:hAnsi="Times New Roman" w:cs="Times New Roman"/>
                <w:sz w:val="24"/>
                <w:szCs w:val="24"/>
                <w:lang w:bidi="lv-LV"/>
              </w:rPr>
              <w:t xml:space="preserve"> </w:t>
            </w:r>
            <w:r w:rsidR="00A65BD3" w:rsidRPr="00A65BD3">
              <w:rPr>
                <w:rFonts w:ascii="Times New Roman" w:hAnsi="Times New Roman" w:cs="Times New Roman"/>
                <w:sz w:val="24"/>
                <w:szCs w:val="24"/>
                <w:lang w:bidi="lv-LV"/>
              </w:rPr>
              <w:t xml:space="preserve">numerācijas resursus, kas atspoguļo nepieciešamību nodrošināt minēto resursu optimālo izmantošanu. </w:t>
            </w:r>
          </w:p>
          <w:p w14:paraId="71DC86DB" w14:textId="77777777" w:rsidR="0087415E" w:rsidRPr="009B03E3" w:rsidRDefault="008925A3" w:rsidP="009C5617">
            <w:pPr>
              <w:pStyle w:val="BodyText3"/>
              <w:shd w:val="clear" w:color="auto" w:fill="auto"/>
              <w:spacing w:before="0" w:after="0" w:line="240" w:lineRule="auto"/>
              <w:ind w:firstLine="0"/>
              <w:jc w:val="both"/>
              <w:rPr>
                <w:rFonts w:ascii="Times New Roman" w:hAnsi="Times New Roman" w:cs="Times New Roman"/>
                <w:sz w:val="24"/>
                <w:szCs w:val="24"/>
                <w:lang w:bidi="lv-LV"/>
              </w:rPr>
            </w:pPr>
            <w:r w:rsidRPr="009B03E3">
              <w:rPr>
                <w:rFonts w:ascii="Times New Roman" w:hAnsi="Times New Roman" w:cs="Times New Roman"/>
                <w:sz w:val="24"/>
                <w:szCs w:val="24"/>
                <w:lang w:bidi="lv-LV"/>
              </w:rPr>
              <w:t>S</w:t>
            </w:r>
            <w:r w:rsidR="009C5617" w:rsidRPr="009B03E3">
              <w:rPr>
                <w:rFonts w:ascii="Times New Roman" w:hAnsi="Times New Roman" w:cs="Times New Roman"/>
                <w:sz w:val="24"/>
                <w:szCs w:val="24"/>
                <w:lang w:bidi="lv-LV"/>
              </w:rPr>
              <w:t xml:space="preserve">askaņā ar Elektronisko sakaru likuma 1.panta 16.punktu </w:t>
            </w:r>
            <w:r w:rsidRPr="009B03E3">
              <w:rPr>
                <w:rFonts w:ascii="Times New Roman" w:hAnsi="Times New Roman" w:cs="Times New Roman"/>
                <w:sz w:val="24"/>
                <w:szCs w:val="24"/>
                <w:lang w:bidi="lv-LV"/>
              </w:rPr>
              <w:t xml:space="preserve">numuri </w:t>
            </w:r>
            <w:r w:rsidR="009C5617" w:rsidRPr="009B03E3">
              <w:rPr>
                <w:rFonts w:ascii="Times New Roman" w:hAnsi="Times New Roman" w:cs="Times New Roman"/>
                <w:sz w:val="24"/>
                <w:szCs w:val="24"/>
                <w:lang w:bidi="lv-LV"/>
              </w:rPr>
              <w:t xml:space="preserve">ir ierobežotais resurss. </w:t>
            </w:r>
            <w:r w:rsidRPr="009B03E3">
              <w:rPr>
                <w:rFonts w:ascii="Times New Roman" w:hAnsi="Times New Roman" w:cs="Times New Roman"/>
                <w:sz w:val="24"/>
                <w:szCs w:val="24"/>
                <w:lang w:bidi="lv-LV"/>
              </w:rPr>
              <w:t xml:space="preserve">Savukārt </w:t>
            </w:r>
            <w:r w:rsidR="009C5617" w:rsidRPr="009B03E3">
              <w:rPr>
                <w:rFonts w:ascii="Times New Roman" w:hAnsi="Times New Roman" w:cs="Times New Roman"/>
                <w:sz w:val="24"/>
                <w:szCs w:val="24"/>
                <w:lang w:bidi="lv-LV"/>
              </w:rPr>
              <w:t xml:space="preserve">Elektronisko sakaru likuma 2.panta 5.punktā ir noteikts </w:t>
            </w:r>
            <w:r w:rsidR="00D73A23" w:rsidRPr="009B03E3">
              <w:rPr>
                <w:rFonts w:ascii="Times New Roman" w:hAnsi="Times New Roman" w:cs="Times New Roman"/>
                <w:sz w:val="24"/>
                <w:szCs w:val="24"/>
                <w:lang w:bidi="lv-LV"/>
              </w:rPr>
              <w:t xml:space="preserve">šī </w:t>
            </w:r>
            <w:r w:rsidR="009C5617" w:rsidRPr="009B03E3">
              <w:rPr>
                <w:rFonts w:ascii="Times New Roman" w:hAnsi="Times New Roman" w:cs="Times New Roman"/>
                <w:sz w:val="24"/>
                <w:szCs w:val="24"/>
                <w:lang w:bidi="lv-LV"/>
              </w:rPr>
              <w:t>likuma mērķis</w:t>
            </w:r>
            <w:r w:rsidR="00ED70C4" w:rsidRPr="009B03E3">
              <w:rPr>
                <w:rFonts w:ascii="Times New Roman" w:hAnsi="Times New Roman" w:cs="Times New Roman"/>
                <w:sz w:val="24"/>
                <w:szCs w:val="24"/>
                <w:lang w:bidi="lv-LV"/>
              </w:rPr>
              <w:t xml:space="preserve"> - </w:t>
            </w:r>
            <w:r w:rsidR="009C5617" w:rsidRPr="009B03E3">
              <w:rPr>
                <w:rFonts w:ascii="Times New Roman" w:hAnsi="Times New Roman" w:cs="Times New Roman"/>
                <w:sz w:val="24"/>
                <w:szCs w:val="24"/>
                <w:lang w:bidi="lv-LV"/>
              </w:rPr>
              <w:t xml:space="preserve"> nodrošināt ierobežoto resursu racionālu un efektīvu izmantošanu. </w:t>
            </w:r>
          </w:p>
          <w:p w14:paraId="342E672F" w14:textId="77777777" w:rsidR="0087415E" w:rsidRPr="009B03E3" w:rsidRDefault="0087415E" w:rsidP="0087415E">
            <w:pPr>
              <w:pStyle w:val="BodyText3"/>
              <w:shd w:val="clear" w:color="auto" w:fill="auto"/>
              <w:spacing w:before="0" w:after="0" w:line="240" w:lineRule="auto"/>
              <w:ind w:firstLine="0"/>
              <w:jc w:val="both"/>
              <w:rPr>
                <w:rFonts w:ascii="Times New Roman" w:hAnsi="Times New Roman" w:cs="Times New Roman"/>
                <w:sz w:val="24"/>
                <w:szCs w:val="24"/>
                <w:lang w:bidi="lv-LV"/>
              </w:rPr>
            </w:pPr>
            <w:r w:rsidRPr="009B03E3">
              <w:rPr>
                <w:rFonts w:ascii="Times New Roman" w:hAnsi="Times New Roman" w:cs="Times New Roman"/>
                <w:sz w:val="24"/>
                <w:szCs w:val="24"/>
                <w:lang w:bidi="lv-LV"/>
              </w:rPr>
              <w:t xml:space="preserve">Attiecībā uz Nodevas ieviešanu, ir četri būtiski iemesli, lai tā tiktu piemērota: </w:t>
            </w:r>
          </w:p>
          <w:p w14:paraId="73395801" w14:textId="35AC39CB" w:rsidR="0087415E" w:rsidRPr="009B03E3" w:rsidRDefault="005D4B3D" w:rsidP="0087415E">
            <w:pPr>
              <w:pStyle w:val="BodyText3"/>
              <w:shd w:val="clear" w:color="auto" w:fill="auto"/>
              <w:spacing w:before="0" w:after="0" w:line="240" w:lineRule="auto"/>
              <w:ind w:firstLine="0"/>
              <w:jc w:val="both"/>
              <w:rPr>
                <w:rFonts w:ascii="Times New Roman" w:hAnsi="Times New Roman" w:cs="Times New Roman"/>
                <w:sz w:val="24"/>
                <w:szCs w:val="24"/>
              </w:rPr>
            </w:pPr>
            <w:r w:rsidRPr="009B03E3">
              <w:rPr>
                <w:rFonts w:ascii="Times New Roman" w:hAnsi="Times New Roman" w:cs="Times New Roman"/>
                <w:sz w:val="24"/>
                <w:szCs w:val="24"/>
                <w:lang w:bidi="lv-LV"/>
              </w:rPr>
              <w:t>-</w:t>
            </w:r>
            <w:r w:rsidR="00E41701">
              <w:rPr>
                <w:rFonts w:cs="Times New Roman"/>
                <w:szCs w:val="24"/>
              </w:rPr>
              <w:t xml:space="preserve"> </w:t>
            </w:r>
            <w:r w:rsidR="0087415E" w:rsidRPr="009B03E3">
              <w:rPr>
                <w:rFonts w:ascii="Times New Roman" w:hAnsi="Times New Roman" w:cs="Times New Roman"/>
                <w:sz w:val="24"/>
                <w:szCs w:val="24"/>
              </w:rPr>
              <w:t>numerācijas resursu efektīva</w:t>
            </w:r>
            <w:r w:rsidR="009232AC">
              <w:rPr>
                <w:rFonts w:ascii="Times New Roman" w:hAnsi="Times New Roman" w:cs="Times New Roman"/>
                <w:sz w:val="24"/>
                <w:szCs w:val="24"/>
              </w:rPr>
              <w:t>s</w:t>
            </w:r>
            <w:r w:rsidR="0087415E" w:rsidRPr="009B03E3">
              <w:rPr>
                <w:rFonts w:ascii="Times New Roman" w:hAnsi="Times New Roman" w:cs="Times New Roman"/>
                <w:sz w:val="24"/>
                <w:szCs w:val="24"/>
              </w:rPr>
              <w:t xml:space="preserve"> un racionāla</w:t>
            </w:r>
            <w:r w:rsidR="009232AC">
              <w:rPr>
                <w:rFonts w:ascii="Times New Roman" w:hAnsi="Times New Roman" w:cs="Times New Roman"/>
                <w:sz w:val="24"/>
                <w:szCs w:val="24"/>
              </w:rPr>
              <w:t>s</w:t>
            </w:r>
            <w:r w:rsidR="0087415E" w:rsidRPr="009B03E3">
              <w:rPr>
                <w:rFonts w:ascii="Times New Roman" w:hAnsi="Times New Roman" w:cs="Times New Roman"/>
                <w:sz w:val="24"/>
                <w:szCs w:val="24"/>
              </w:rPr>
              <w:t xml:space="preserve"> izmantošana</w:t>
            </w:r>
            <w:r w:rsidR="009232AC">
              <w:rPr>
                <w:rFonts w:ascii="Times New Roman" w:hAnsi="Times New Roman" w:cs="Times New Roman"/>
                <w:sz w:val="24"/>
                <w:szCs w:val="24"/>
              </w:rPr>
              <w:t>s veicināšanai</w:t>
            </w:r>
            <w:r w:rsidR="0087415E" w:rsidRPr="009B03E3">
              <w:rPr>
                <w:rFonts w:ascii="Times New Roman" w:hAnsi="Times New Roman" w:cs="Times New Roman"/>
                <w:sz w:val="24"/>
                <w:szCs w:val="24"/>
              </w:rPr>
              <w:t>;</w:t>
            </w:r>
          </w:p>
          <w:p w14:paraId="79F207B6" w14:textId="6514D6C3" w:rsidR="0087415E" w:rsidRPr="009B03E3" w:rsidRDefault="0087415E" w:rsidP="0087415E">
            <w:pPr>
              <w:pStyle w:val="BodyText3"/>
              <w:shd w:val="clear" w:color="auto" w:fill="auto"/>
              <w:spacing w:before="0" w:after="0" w:line="240" w:lineRule="auto"/>
              <w:ind w:firstLine="0"/>
              <w:jc w:val="both"/>
              <w:rPr>
                <w:rFonts w:ascii="Times New Roman" w:hAnsi="Times New Roman" w:cs="Times New Roman"/>
                <w:sz w:val="24"/>
                <w:szCs w:val="24"/>
              </w:rPr>
            </w:pPr>
            <w:r w:rsidRPr="009B03E3">
              <w:rPr>
                <w:rFonts w:ascii="Times New Roman" w:hAnsi="Times New Roman" w:cs="Times New Roman"/>
                <w:sz w:val="24"/>
                <w:szCs w:val="24"/>
                <w:lang w:bidi="lv-LV"/>
              </w:rPr>
              <w:t xml:space="preserve">- </w:t>
            </w:r>
            <w:r w:rsidRPr="009B03E3">
              <w:rPr>
                <w:rFonts w:ascii="Times New Roman" w:hAnsi="Times New Roman" w:cs="Times New Roman"/>
                <w:sz w:val="24"/>
                <w:szCs w:val="24"/>
              </w:rPr>
              <w:t>ārvalstu elektronisko sakaru komersantu interes</w:t>
            </w:r>
            <w:r w:rsidR="009232AC">
              <w:rPr>
                <w:rFonts w:ascii="Times New Roman" w:hAnsi="Times New Roman" w:cs="Times New Roman"/>
                <w:sz w:val="24"/>
                <w:szCs w:val="24"/>
              </w:rPr>
              <w:t>es</w:t>
            </w:r>
            <w:r w:rsidRPr="009B03E3">
              <w:rPr>
                <w:rFonts w:ascii="Times New Roman" w:hAnsi="Times New Roman" w:cs="Times New Roman"/>
                <w:sz w:val="24"/>
                <w:szCs w:val="24"/>
              </w:rPr>
              <w:t xml:space="preserve"> izmantot Latvijas Republikas numerācijas resursu kā bezmaksas resursu</w:t>
            </w:r>
            <w:r w:rsidR="009232AC">
              <w:rPr>
                <w:rFonts w:ascii="Times New Roman" w:hAnsi="Times New Roman" w:cs="Times New Roman"/>
                <w:sz w:val="24"/>
                <w:szCs w:val="24"/>
              </w:rPr>
              <w:t xml:space="preserve"> mazināšanai</w:t>
            </w:r>
            <w:r w:rsidRPr="009B03E3">
              <w:rPr>
                <w:rFonts w:ascii="Times New Roman" w:hAnsi="Times New Roman" w:cs="Times New Roman"/>
                <w:sz w:val="24"/>
                <w:szCs w:val="24"/>
              </w:rPr>
              <w:t>;</w:t>
            </w:r>
          </w:p>
          <w:p w14:paraId="551EB9F1" w14:textId="66A1B7CB" w:rsidR="0087415E" w:rsidRPr="009B03E3" w:rsidRDefault="0087415E" w:rsidP="0087415E">
            <w:pPr>
              <w:pStyle w:val="BodyText3"/>
              <w:shd w:val="clear" w:color="auto" w:fill="auto"/>
              <w:spacing w:before="0" w:after="0" w:line="240" w:lineRule="auto"/>
              <w:ind w:firstLine="0"/>
              <w:jc w:val="both"/>
              <w:rPr>
                <w:rFonts w:ascii="Times New Roman" w:hAnsi="Times New Roman" w:cs="Times New Roman"/>
                <w:sz w:val="24"/>
                <w:szCs w:val="24"/>
              </w:rPr>
            </w:pPr>
            <w:r w:rsidRPr="009B03E3">
              <w:rPr>
                <w:rFonts w:ascii="Times New Roman" w:hAnsi="Times New Roman" w:cs="Times New Roman"/>
                <w:sz w:val="24"/>
                <w:szCs w:val="24"/>
              </w:rPr>
              <w:t xml:space="preserve">- </w:t>
            </w:r>
            <w:proofErr w:type="spellStart"/>
            <w:r w:rsidRPr="009B03E3">
              <w:rPr>
                <w:rFonts w:ascii="Times New Roman" w:hAnsi="Times New Roman" w:cs="Times New Roman"/>
                <w:sz w:val="24"/>
                <w:szCs w:val="24"/>
              </w:rPr>
              <w:t>krāpniecīb</w:t>
            </w:r>
            <w:r w:rsidR="009232AC">
              <w:rPr>
                <w:rFonts w:ascii="Times New Roman" w:hAnsi="Times New Roman" w:cs="Times New Roman"/>
                <w:sz w:val="24"/>
                <w:szCs w:val="24"/>
              </w:rPr>
              <w:t>as</w:t>
            </w:r>
            <w:proofErr w:type="spellEnd"/>
            <w:r w:rsidR="00E41701">
              <w:rPr>
                <w:rFonts w:ascii="Times New Roman" w:hAnsi="Times New Roman" w:cs="Times New Roman"/>
                <w:sz w:val="24"/>
                <w:szCs w:val="24"/>
              </w:rPr>
              <w:t>,</w:t>
            </w:r>
            <w:r w:rsidRPr="009B03E3">
              <w:rPr>
                <w:rFonts w:ascii="Times New Roman" w:hAnsi="Times New Roman" w:cs="Times New Roman"/>
                <w:sz w:val="24"/>
                <w:szCs w:val="24"/>
              </w:rPr>
              <w:t xml:space="preserve"> izmantojot numerāciju</w:t>
            </w:r>
            <w:r w:rsidR="009232AC">
              <w:rPr>
                <w:rFonts w:ascii="Times New Roman" w:hAnsi="Times New Roman" w:cs="Times New Roman"/>
                <w:sz w:val="24"/>
                <w:szCs w:val="24"/>
              </w:rPr>
              <w:t>, mazināšanai</w:t>
            </w:r>
            <w:r w:rsidRPr="009B03E3">
              <w:rPr>
                <w:rFonts w:ascii="Times New Roman" w:hAnsi="Times New Roman" w:cs="Times New Roman"/>
                <w:sz w:val="24"/>
                <w:szCs w:val="24"/>
              </w:rPr>
              <w:t>;</w:t>
            </w:r>
          </w:p>
          <w:p w14:paraId="16D030E3" w14:textId="77BE3D2E" w:rsidR="0087415E" w:rsidRPr="009B03E3" w:rsidRDefault="0087415E" w:rsidP="0087415E">
            <w:pPr>
              <w:pStyle w:val="BodyText3"/>
              <w:shd w:val="clear" w:color="auto" w:fill="auto"/>
              <w:spacing w:before="0" w:after="0" w:line="240" w:lineRule="auto"/>
              <w:ind w:firstLine="0"/>
              <w:jc w:val="both"/>
              <w:rPr>
                <w:rFonts w:ascii="Times New Roman" w:hAnsi="Times New Roman" w:cs="Times New Roman"/>
                <w:sz w:val="24"/>
                <w:szCs w:val="24"/>
                <w:lang w:bidi="lv-LV"/>
              </w:rPr>
            </w:pPr>
            <w:r w:rsidRPr="009B03E3">
              <w:rPr>
                <w:rFonts w:ascii="Times New Roman" w:hAnsi="Times New Roman" w:cs="Times New Roman"/>
                <w:sz w:val="24"/>
                <w:szCs w:val="24"/>
                <w:lang w:bidi="lv-LV"/>
              </w:rPr>
              <w:t xml:space="preserve">- </w:t>
            </w:r>
            <w:r w:rsidRPr="009B03E3">
              <w:rPr>
                <w:rFonts w:ascii="Times New Roman" w:hAnsi="Times New Roman" w:cs="Times New Roman"/>
                <w:sz w:val="24"/>
                <w:szCs w:val="24"/>
              </w:rPr>
              <w:t>Latvijas Republikas numuru pārdošan</w:t>
            </w:r>
            <w:r w:rsidR="009232AC">
              <w:rPr>
                <w:rFonts w:ascii="Times New Roman" w:hAnsi="Times New Roman" w:cs="Times New Roman"/>
                <w:sz w:val="24"/>
                <w:szCs w:val="24"/>
              </w:rPr>
              <w:t>as</w:t>
            </w:r>
            <w:r w:rsidRPr="009B03E3">
              <w:rPr>
                <w:rFonts w:ascii="Times New Roman" w:hAnsi="Times New Roman" w:cs="Times New Roman"/>
                <w:sz w:val="24"/>
                <w:szCs w:val="24"/>
              </w:rPr>
              <w:t xml:space="preserve"> ārvalstīs</w:t>
            </w:r>
            <w:r w:rsidR="009232AC">
              <w:rPr>
                <w:rFonts w:ascii="Times New Roman" w:hAnsi="Times New Roman" w:cs="Times New Roman"/>
                <w:sz w:val="24"/>
                <w:szCs w:val="24"/>
              </w:rPr>
              <w:t xml:space="preserve"> mazināšanai</w:t>
            </w:r>
            <w:r w:rsidRPr="009B03E3">
              <w:rPr>
                <w:rFonts w:ascii="Times New Roman" w:hAnsi="Times New Roman" w:cs="Times New Roman"/>
                <w:sz w:val="24"/>
                <w:szCs w:val="24"/>
              </w:rPr>
              <w:t>.</w:t>
            </w:r>
          </w:p>
          <w:p w14:paraId="4BF0423D" w14:textId="50C40058" w:rsidR="00D73A23" w:rsidRPr="009B03E3" w:rsidRDefault="0087415E" w:rsidP="009C5617">
            <w:pPr>
              <w:pStyle w:val="BodyText3"/>
              <w:shd w:val="clear" w:color="auto" w:fill="auto"/>
              <w:spacing w:before="0" w:after="0" w:line="240" w:lineRule="auto"/>
              <w:ind w:firstLine="0"/>
              <w:jc w:val="both"/>
              <w:rPr>
                <w:rFonts w:ascii="Times New Roman" w:hAnsi="Times New Roman" w:cs="Times New Roman"/>
                <w:sz w:val="24"/>
                <w:szCs w:val="24"/>
                <w:lang w:bidi="lv-LV"/>
              </w:rPr>
            </w:pPr>
            <w:r w:rsidRPr="009B03E3">
              <w:rPr>
                <w:rFonts w:ascii="Times New Roman" w:hAnsi="Times New Roman" w:cs="Times New Roman"/>
                <w:sz w:val="24"/>
                <w:szCs w:val="24"/>
                <w:lang w:bidi="lv-LV"/>
              </w:rPr>
              <w:t>Ievērojot minēto,</w:t>
            </w:r>
            <w:r w:rsidR="008925A3" w:rsidRPr="009B03E3">
              <w:rPr>
                <w:rFonts w:ascii="Times New Roman" w:hAnsi="Times New Roman" w:cs="Times New Roman"/>
                <w:sz w:val="24"/>
                <w:szCs w:val="24"/>
                <w:lang w:bidi="lv-LV"/>
              </w:rPr>
              <w:t xml:space="preserve"> Ministru kabinets atbalstīja informatīv</w:t>
            </w:r>
            <w:r w:rsidR="00D73A23" w:rsidRPr="009B03E3">
              <w:rPr>
                <w:rFonts w:ascii="Times New Roman" w:hAnsi="Times New Roman" w:cs="Times New Roman"/>
                <w:sz w:val="24"/>
                <w:szCs w:val="24"/>
                <w:lang w:bidi="lv-LV"/>
              </w:rPr>
              <w:t>ajā</w:t>
            </w:r>
            <w:r w:rsidR="008925A3" w:rsidRPr="009B03E3">
              <w:rPr>
                <w:rFonts w:ascii="Times New Roman" w:hAnsi="Times New Roman" w:cs="Times New Roman"/>
                <w:sz w:val="24"/>
                <w:szCs w:val="24"/>
                <w:lang w:bidi="lv-LV"/>
              </w:rPr>
              <w:t xml:space="preserve"> ziņojum</w:t>
            </w:r>
            <w:r w:rsidR="00D73A23" w:rsidRPr="009B03E3">
              <w:rPr>
                <w:rFonts w:ascii="Times New Roman" w:hAnsi="Times New Roman" w:cs="Times New Roman"/>
                <w:sz w:val="24"/>
                <w:szCs w:val="24"/>
                <w:lang w:bidi="lv-LV"/>
              </w:rPr>
              <w:t xml:space="preserve">ā piedāvāto </w:t>
            </w:r>
            <w:r w:rsidR="009232AC">
              <w:rPr>
                <w:rFonts w:ascii="Times New Roman" w:hAnsi="Times New Roman" w:cs="Times New Roman"/>
                <w:sz w:val="24"/>
                <w:szCs w:val="24"/>
                <w:lang w:bidi="lv-LV"/>
              </w:rPr>
              <w:t xml:space="preserve">numerācijas resursu lietošanas </w:t>
            </w:r>
            <w:r w:rsidR="00D73A23" w:rsidRPr="009B03E3">
              <w:rPr>
                <w:rFonts w:ascii="Times New Roman" w:hAnsi="Times New Roman" w:cs="Times New Roman"/>
                <w:sz w:val="24"/>
                <w:szCs w:val="24"/>
                <w:lang w:bidi="lv-LV"/>
              </w:rPr>
              <w:t>regulējošo instrumentu – Nodevu.</w:t>
            </w:r>
          </w:p>
          <w:p w14:paraId="5B2A0CD4" w14:textId="77777777" w:rsidR="00AF3ADD" w:rsidRPr="009B03E3" w:rsidRDefault="009C5617" w:rsidP="009C5617">
            <w:pPr>
              <w:pStyle w:val="BodyText3"/>
              <w:shd w:val="clear" w:color="auto" w:fill="auto"/>
              <w:spacing w:before="0" w:after="0" w:line="240" w:lineRule="auto"/>
              <w:ind w:firstLine="0"/>
              <w:jc w:val="both"/>
              <w:rPr>
                <w:rFonts w:ascii="Times New Roman" w:hAnsi="Times New Roman" w:cs="Times New Roman"/>
                <w:sz w:val="24"/>
                <w:szCs w:val="24"/>
                <w:lang w:bidi="lv-LV"/>
              </w:rPr>
            </w:pPr>
            <w:r w:rsidRPr="009B03E3">
              <w:rPr>
                <w:rFonts w:ascii="Times New Roman" w:hAnsi="Times New Roman" w:cs="Times New Roman"/>
                <w:sz w:val="24"/>
                <w:szCs w:val="24"/>
                <w:lang w:bidi="lv-LV"/>
              </w:rPr>
              <w:t>Nodevas ieviešana nodrošinā</w:t>
            </w:r>
            <w:r w:rsidR="00D73A23" w:rsidRPr="009B03E3">
              <w:rPr>
                <w:rFonts w:ascii="Times New Roman" w:hAnsi="Times New Roman" w:cs="Times New Roman"/>
                <w:sz w:val="24"/>
                <w:szCs w:val="24"/>
                <w:lang w:bidi="lv-LV"/>
              </w:rPr>
              <w:t>s</w:t>
            </w:r>
            <w:r w:rsidRPr="009B03E3">
              <w:rPr>
                <w:rFonts w:ascii="Times New Roman" w:hAnsi="Times New Roman" w:cs="Times New Roman"/>
                <w:sz w:val="24"/>
                <w:szCs w:val="24"/>
                <w:lang w:bidi="lv-LV"/>
              </w:rPr>
              <w:t xml:space="preserve">, ka elektronisko sakaru komersanti </w:t>
            </w:r>
            <w:r w:rsidR="00CB6E7E" w:rsidRPr="009B03E3">
              <w:rPr>
                <w:rFonts w:ascii="Times New Roman" w:hAnsi="Times New Roman" w:cs="Times New Roman"/>
                <w:sz w:val="24"/>
                <w:szCs w:val="24"/>
                <w:lang w:bidi="lv-LV"/>
              </w:rPr>
              <w:t>detalizētāk plāno</w:t>
            </w:r>
            <w:r w:rsidR="00D73A23" w:rsidRPr="009B03E3">
              <w:rPr>
                <w:rFonts w:ascii="Times New Roman" w:hAnsi="Times New Roman" w:cs="Times New Roman"/>
                <w:sz w:val="24"/>
                <w:szCs w:val="24"/>
                <w:lang w:bidi="lv-LV"/>
              </w:rPr>
              <w:t>s</w:t>
            </w:r>
            <w:r w:rsidRPr="009B03E3">
              <w:rPr>
                <w:rFonts w:ascii="Times New Roman" w:hAnsi="Times New Roman" w:cs="Times New Roman"/>
                <w:sz w:val="24"/>
                <w:szCs w:val="24"/>
                <w:lang w:bidi="lv-LV"/>
              </w:rPr>
              <w:t xml:space="preserve"> numerācijas izmantošanu</w:t>
            </w:r>
            <w:r w:rsidR="00CB6E7E" w:rsidRPr="009B03E3">
              <w:rPr>
                <w:rFonts w:ascii="Times New Roman" w:hAnsi="Times New Roman" w:cs="Times New Roman"/>
                <w:sz w:val="24"/>
                <w:szCs w:val="24"/>
                <w:lang w:bidi="lv-LV"/>
              </w:rPr>
              <w:t>, atbilstošāk izvērtē</w:t>
            </w:r>
            <w:r w:rsidR="00D73A23" w:rsidRPr="009B03E3">
              <w:rPr>
                <w:rFonts w:ascii="Times New Roman" w:hAnsi="Times New Roman" w:cs="Times New Roman"/>
                <w:sz w:val="24"/>
                <w:szCs w:val="24"/>
                <w:lang w:bidi="lv-LV"/>
              </w:rPr>
              <w:t>s</w:t>
            </w:r>
            <w:r w:rsidR="00CB6E7E" w:rsidRPr="009B03E3">
              <w:rPr>
                <w:rFonts w:ascii="Times New Roman" w:hAnsi="Times New Roman" w:cs="Times New Roman"/>
                <w:sz w:val="24"/>
                <w:szCs w:val="24"/>
                <w:lang w:bidi="lv-LV"/>
              </w:rPr>
              <w:t xml:space="preserve"> nepieciešamību pieprasīt jaunas numerācijas lietošanas atļaujas</w:t>
            </w:r>
            <w:r w:rsidRPr="009B03E3">
              <w:rPr>
                <w:rFonts w:ascii="Times New Roman" w:hAnsi="Times New Roman" w:cs="Times New Roman"/>
                <w:sz w:val="24"/>
                <w:szCs w:val="24"/>
                <w:lang w:bidi="lv-LV"/>
              </w:rPr>
              <w:t xml:space="preserve">, </w:t>
            </w:r>
            <w:r w:rsidR="00CB6E7E" w:rsidRPr="009B03E3">
              <w:rPr>
                <w:rFonts w:ascii="Times New Roman" w:hAnsi="Times New Roman" w:cs="Times New Roman"/>
                <w:sz w:val="24"/>
                <w:szCs w:val="24"/>
                <w:lang w:bidi="lv-LV"/>
              </w:rPr>
              <w:t>tādējādi izmantojot numerācijas resursus</w:t>
            </w:r>
            <w:r w:rsidRPr="009B03E3">
              <w:rPr>
                <w:rFonts w:ascii="Times New Roman" w:hAnsi="Times New Roman" w:cs="Times New Roman"/>
                <w:sz w:val="24"/>
                <w:szCs w:val="24"/>
                <w:lang w:bidi="lv-LV"/>
              </w:rPr>
              <w:t xml:space="preserve"> pēc iespējas efektīvāk.</w:t>
            </w:r>
            <w:r w:rsidR="0087415E" w:rsidRPr="009B03E3">
              <w:rPr>
                <w:rFonts w:ascii="Times New Roman" w:hAnsi="Times New Roman" w:cs="Times New Roman"/>
                <w:sz w:val="24"/>
                <w:szCs w:val="24"/>
                <w:lang w:bidi="lv-LV"/>
              </w:rPr>
              <w:t xml:space="preserve"> </w:t>
            </w:r>
          </w:p>
          <w:p w14:paraId="773B05B7" w14:textId="52EA3259" w:rsidR="009C5617" w:rsidRPr="009B03E3" w:rsidRDefault="009C5617" w:rsidP="009C5617">
            <w:pPr>
              <w:pStyle w:val="BodyText3"/>
              <w:shd w:val="clear" w:color="auto" w:fill="auto"/>
              <w:spacing w:before="0" w:after="0" w:line="240" w:lineRule="auto"/>
              <w:ind w:firstLine="0"/>
              <w:jc w:val="both"/>
              <w:rPr>
                <w:rFonts w:ascii="Times New Roman" w:hAnsi="Times New Roman" w:cs="Times New Roman"/>
                <w:sz w:val="24"/>
                <w:szCs w:val="24"/>
                <w:lang w:bidi="lv-LV"/>
              </w:rPr>
            </w:pPr>
            <w:r w:rsidRPr="005D4B3D">
              <w:rPr>
                <w:rFonts w:ascii="Times New Roman" w:hAnsi="Times New Roman" w:cs="Times New Roman"/>
                <w:sz w:val="24"/>
                <w:szCs w:val="24"/>
                <w:lang w:bidi="lv-LV"/>
              </w:rPr>
              <w:t>Līdz 20</w:t>
            </w:r>
            <w:r w:rsidR="00B67B05" w:rsidRPr="005D4B3D">
              <w:rPr>
                <w:rFonts w:ascii="Times New Roman" w:hAnsi="Times New Roman" w:cs="Times New Roman"/>
                <w:sz w:val="24"/>
                <w:szCs w:val="24"/>
                <w:lang w:bidi="lv-LV"/>
              </w:rPr>
              <w:t>20</w:t>
            </w:r>
            <w:r w:rsidRPr="005D4B3D">
              <w:rPr>
                <w:rFonts w:ascii="Times New Roman" w:hAnsi="Times New Roman" w:cs="Times New Roman"/>
                <w:sz w:val="24"/>
                <w:szCs w:val="24"/>
                <w:lang w:bidi="lv-LV"/>
              </w:rPr>
              <w:t xml:space="preserve">.gada </w:t>
            </w:r>
            <w:r w:rsidR="00E41701" w:rsidRPr="005D4B3D">
              <w:rPr>
                <w:rFonts w:ascii="Times New Roman" w:hAnsi="Times New Roman" w:cs="Times New Roman"/>
                <w:sz w:val="24"/>
                <w:szCs w:val="24"/>
                <w:lang w:bidi="lv-LV"/>
              </w:rPr>
              <w:t>14.jūlijam</w:t>
            </w:r>
            <w:r w:rsidRPr="005D4B3D">
              <w:rPr>
                <w:rFonts w:ascii="Times New Roman" w:hAnsi="Times New Roman" w:cs="Times New Roman"/>
                <w:sz w:val="24"/>
                <w:szCs w:val="24"/>
                <w:lang w:bidi="lv-LV"/>
              </w:rPr>
              <w:t xml:space="preserve"> numerācijas lietošanas tiesības </w:t>
            </w:r>
            <w:r w:rsidR="009232AC" w:rsidRPr="005D4B3D">
              <w:rPr>
                <w:rFonts w:ascii="Times New Roman" w:hAnsi="Times New Roman" w:cs="Times New Roman"/>
                <w:sz w:val="24"/>
                <w:szCs w:val="24"/>
                <w:lang w:bidi="lv-LV"/>
              </w:rPr>
              <w:t xml:space="preserve">ir piešķirtas </w:t>
            </w:r>
            <w:r w:rsidRPr="005D4B3D">
              <w:rPr>
                <w:rFonts w:ascii="Times New Roman" w:hAnsi="Times New Roman" w:cs="Times New Roman"/>
                <w:sz w:val="24"/>
                <w:szCs w:val="24"/>
                <w:lang w:bidi="lv-LV"/>
              </w:rPr>
              <w:t>7</w:t>
            </w:r>
            <w:r w:rsidR="00B67B05" w:rsidRPr="005D4B3D">
              <w:rPr>
                <w:rFonts w:ascii="Times New Roman" w:hAnsi="Times New Roman" w:cs="Times New Roman"/>
                <w:sz w:val="24"/>
                <w:szCs w:val="24"/>
                <w:lang w:bidi="lv-LV"/>
              </w:rPr>
              <w:t>7</w:t>
            </w:r>
            <w:r w:rsidRPr="005D4B3D">
              <w:rPr>
                <w:rFonts w:ascii="Times New Roman" w:hAnsi="Times New Roman" w:cs="Times New Roman"/>
                <w:sz w:val="24"/>
                <w:szCs w:val="24"/>
                <w:lang w:bidi="lv-LV"/>
              </w:rPr>
              <w:t>,</w:t>
            </w:r>
            <w:r w:rsidR="00B67B05" w:rsidRPr="005D4B3D">
              <w:rPr>
                <w:rFonts w:ascii="Times New Roman" w:hAnsi="Times New Roman" w:cs="Times New Roman"/>
                <w:sz w:val="24"/>
                <w:szCs w:val="24"/>
                <w:lang w:bidi="lv-LV"/>
              </w:rPr>
              <w:t>74</w:t>
            </w:r>
            <w:r w:rsidRPr="005D4B3D">
              <w:rPr>
                <w:rFonts w:ascii="Times New Roman" w:hAnsi="Times New Roman" w:cs="Times New Roman"/>
                <w:sz w:val="24"/>
                <w:szCs w:val="24"/>
                <w:lang w:bidi="lv-LV"/>
              </w:rPr>
              <w:t xml:space="preserve">% publisko mobilo telefonu tīklu numuriem, </w:t>
            </w:r>
            <w:r w:rsidR="00E41701" w:rsidRPr="005D4B3D">
              <w:rPr>
                <w:rFonts w:ascii="Times New Roman" w:hAnsi="Times New Roman" w:cs="Times New Roman"/>
                <w:sz w:val="24"/>
                <w:szCs w:val="24"/>
                <w:lang w:bidi="lv-LV"/>
              </w:rPr>
              <w:t>27,43</w:t>
            </w:r>
            <w:r w:rsidRPr="005D4B3D">
              <w:rPr>
                <w:rFonts w:ascii="Times New Roman" w:hAnsi="Times New Roman" w:cs="Times New Roman"/>
                <w:sz w:val="24"/>
                <w:szCs w:val="24"/>
                <w:lang w:bidi="lv-LV"/>
              </w:rPr>
              <w:t>% publisko fiksēto telefonu tīklu numuriem,</w:t>
            </w:r>
            <w:r w:rsidR="00E41701" w:rsidRPr="005D4B3D">
              <w:rPr>
                <w:rFonts w:ascii="Times New Roman" w:hAnsi="Times New Roman" w:cs="Times New Roman"/>
                <w:sz w:val="24"/>
                <w:szCs w:val="24"/>
                <w:lang w:bidi="lv-LV"/>
              </w:rPr>
              <w:t xml:space="preserve"> 0,97% bezmaksas izsaukuma pakalpojuma numuriem, 0,25% dalītās samaksas pakalpojuma numuriem, 0,88% papildu samaksas pakalpojuma numuriem un</w:t>
            </w:r>
            <w:r w:rsidRPr="005D4B3D">
              <w:rPr>
                <w:rFonts w:ascii="Times New Roman" w:hAnsi="Times New Roman" w:cs="Times New Roman"/>
                <w:sz w:val="24"/>
                <w:szCs w:val="24"/>
                <w:lang w:bidi="lv-LV"/>
              </w:rPr>
              <w:t xml:space="preserve"> </w:t>
            </w:r>
            <w:r w:rsidR="00E41701" w:rsidRPr="005D4B3D">
              <w:rPr>
                <w:rFonts w:ascii="Times New Roman" w:hAnsi="Times New Roman" w:cs="Times New Roman"/>
                <w:sz w:val="24"/>
                <w:szCs w:val="24"/>
                <w:lang w:bidi="lv-LV"/>
              </w:rPr>
              <w:t>6,4</w:t>
            </w:r>
            <w:r w:rsidRPr="005D4B3D">
              <w:rPr>
                <w:rFonts w:ascii="Times New Roman" w:hAnsi="Times New Roman" w:cs="Times New Roman"/>
                <w:sz w:val="24"/>
                <w:szCs w:val="24"/>
                <w:lang w:bidi="lv-LV"/>
              </w:rPr>
              <w:t>% citu veidu pakalpojumu numuriem.</w:t>
            </w:r>
            <w:r w:rsidRPr="009B03E3">
              <w:rPr>
                <w:rFonts w:ascii="Times New Roman" w:hAnsi="Times New Roman" w:cs="Times New Roman"/>
                <w:sz w:val="24"/>
                <w:szCs w:val="24"/>
                <w:lang w:bidi="lv-LV"/>
              </w:rPr>
              <w:t xml:space="preserve"> </w:t>
            </w:r>
          </w:p>
          <w:p w14:paraId="2E57427B" w14:textId="71C76035" w:rsidR="009C5617" w:rsidRPr="009B03E3" w:rsidRDefault="009C5617" w:rsidP="009C5617">
            <w:pPr>
              <w:spacing w:after="0" w:line="240" w:lineRule="auto"/>
              <w:jc w:val="both"/>
              <w:rPr>
                <w:rFonts w:ascii="Times New Roman" w:eastAsia="Times New Roman" w:hAnsi="Times New Roman"/>
                <w:sz w:val="24"/>
                <w:szCs w:val="24"/>
              </w:rPr>
            </w:pPr>
            <w:r w:rsidRPr="009B03E3">
              <w:rPr>
                <w:rFonts w:ascii="Times New Roman" w:eastAsia="Times New Roman" w:hAnsi="Times New Roman"/>
                <w:sz w:val="24"/>
                <w:szCs w:val="24"/>
              </w:rPr>
              <w:t>Elektronisko sakaru likuma 57.panta pirmā daļa no</w:t>
            </w:r>
            <w:r w:rsidR="00504869" w:rsidRPr="009B03E3">
              <w:rPr>
                <w:rFonts w:ascii="Times New Roman" w:eastAsia="Times New Roman" w:hAnsi="Times New Roman"/>
                <w:sz w:val="24"/>
                <w:szCs w:val="24"/>
              </w:rPr>
              <w:t>saka</w:t>
            </w:r>
            <w:r w:rsidRPr="009B03E3">
              <w:rPr>
                <w:rFonts w:ascii="Times New Roman" w:eastAsia="Times New Roman" w:hAnsi="Times New Roman"/>
                <w:sz w:val="24"/>
                <w:szCs w:val="24"/>
              </w:rPr>
              <w:t>, ka, mainot elektronisko sakaru komersantu, pēc galalietotāja pieprasījuma tiek nodrošināta iespēja saglabāt tā lietošanā nodoto numuru.</w:t>
            </w:r>
            <w:r w:rsidR="009D4673" w:rsidRPr="009B03E3">
              <w:rPr>
                <w:rFonts w:ascii="Times New Roman" w:eastAsia="Times New Roman" w:hAnsi="Times New Roman"/>
                <w:sz w:val="24"/>
                <w:szCs w:val="24"/>
              </w:rPr>
              <w:t xml:space="preserve"> </w:t>
            </w:r>
            <w:r w:rsidR="007C1307" w:rsidRPr="009B03E3">
              <w:rPr>
                <w:rFonts w:ascii="Times New Roman" w:eastAsia="Times New Roman" w:hAnsi="Times New Roman"/>
                <w:sz w:val="24"/>
                <w:szCs w:val="24"/>
              </w:rPr>
              <w:t xml:space="preserve">Jāatzīmē, ka numuri izmantojami tikai </w:t>
            </w:r>
            <w:r w:rsidR="007C1307" w:rsidRPr="00C80A74">
              <w:rPr>
                <w:rFonts w:ascii="Times New Roman" w:eastAsia="Times New Roman" w:hAnsi="Times New Roman"/>
                <w:sz w:val="24"/>
                <w:szCs w:val="24"/>
              </w:rPr>
              <w:t>Naci</w:t>
            </w:r>
            <w:r w:rsidR="007C1307" w:rsidRPr="009B03E3">
              <w:rPr>
                <w:rFonts w:ascii="Times New Roman" w:eastAsia="Times New Roman" w:hAnsi="Times New Roman"/>
                <w:sz w:val="24"/>
                <w:szCs w:val="24"/>
              </w:rPr>
              <w:t xml:space="preserve">onālajā numerācijas plānā noteiktajiem mērķiem. </w:t>
            </w:r>
            <w:r w:rsidRPr="009B03E3">
              <w:rPr>
                <w:rFonts w:ascii="Times New Roman" w:eastAsia="Times New Roman" w:hAnsi="Times New Roman"/>
                <w:sz w:val="24"/>
                <w:szCs w:val="24"/>
              </w:rPr>
              <w:t xml:space="preserve">Lai atvieglotu un padarītu saprotamāku kārtību, kādā elektronisko sakaru komersanti maksā Nodevu, </w:t>
            </w:r>
            <w:r w:rsidR="00B67B05" w:rsidRPr="009B03E3">
              <w:rPr>
                <w:rFonts w:ascii="Times New Roman" w:eastAsia="Times New Roman" w:hAnsi="Times New Roman"/>
                <w:sz w:val="24"/>
                <w:szCs w:val="24"/>
              </w:rPr>
              <w:t>N</w:t>
            </w:r>
            <w:r w:rsidRPr="009B03E3">
              <w:rPr>
                <w:rFonts w:ascii="Times New Roman" w:eastAsia="Times New Roman" w:hAnsi="Times New Roman"/>
                <w:sz w:val="24"/>
                <w:szCs w:val="24"/>
              </w:rPr>
              <w:t xml:space="preserve">oteikumu projektā ir noteikts, ka Nodevu maksā tas elektronisko sakaru komersants, uz kura publisko elektronisko sakaru tīklu </w:t>
            </w:r>
            <w:r w:rsidR="00CB6E7E" w:rsidRPr="009B03E3">
              <w:rPr>
                <w:rFonts w:ascii="Times New Roman" w:eastAsia="Times New Roman" w:hAnsi="Times New Roman"/>
                <w:sz w:val="24"/>
                <w:szCs w:val="24"/>
              </w:rPr>
              <w:t xml:space="preserve">tiek </w:t>
            </w:r>
            <w:r w:rsidRPr="009B03E3">
              <w:rPr>
                <w:rFonts w:ascii="Times New Roman" w:eastAsia="Times New Roman" w:hAnsi="Times New Roman"/>
                <w:sz w:val="24"/>
                <w:szCs w:val="24"/>
              </w:rPr>
              <w:t xml:space="preserve">pārvietots </w:t>
            </w:r>
            <w:r w:rsidR="00CB6E7E" w:rsidRPr="009B03E3">
              <w:rPr>
                <w:rFonts w:ascii="Times New Roman" w:eastAsia="Times New Roman" w:hAnsi="Times New Roman"/>
                <w:sz w:val="24"/>
                <w:szCs w:val="24"/>
              </w:rPr>
              <w:t xml:space="preserve">konkrētais </w:t>
            </w:r>
            <w:r w:rsidRPr="009B03E3">
              <w:rPr>
                <w:rFonts w:ascii="Times New Roman" w:eastAsia="Times New Roman" w:hAnsi="Times New Roman"/>
                <w:sz w:val="24"/>
                <w:szCs w:val="24"/>
              </w:rPr>
              <w:t>numurs</w:t>
            </w:r>
            <w:r w:rsidR="007C1307" w:rsidRPr="009B03E3">
              <w:rPr>
                <w:rFonts w:ascii="Times New Roman" w:eastAsia="Times New Roman" w:hAnsi="Times New Roman"/>
                <w:sz w:val="24"/>
                <w:szCs w:val="24"/>
              </w:rPr>
              <w:t xml:space="preserve">. Informāciju par numuriem Ministru kabineta noteiktajā kārtībā nodrošina valsts akciju sabiedrība </w:t>
            </w:r>
            <w:r w:rsidR="00033B2C">
              <w:rPr>
                <w:rFonts w:ascii="Times New Roman" w:eastAsia="Times New Roman" w:hAnsi="Times New Roman"/>
                <w:sz w:val="24"/>
                <w:szCs w:val="24"/>
              </w:rPr>
              <w:t>“</w:t>
            </w:r>
            <w:r w:rsidR="007C1307" w:rsidRPr="009B03E3">
              <w:rPr>
                <w:rFonts w:ascii="Times New Roman" w:eastAsia="Times New Roman" w:hAnsi="Times New Roman"/>
                <w:sz w:val="24"/>
                <w:szCs w:val="24"/>
              </w:rPr>
              <w:t>Elektroniskie sakari</w:t>
            </w:r>
            <w:r w:rsidR="00033B2C">
              <w:rPr>
                <w:rFonts w:ascii="Times New Roman" w:eastAsia="Times New Roman" w:hAnsi="Times New Roman"/>
                <w:sz w:val="24"/>
                <w:szCs w:val="24"/>
              </w:rPr>
              <w:t>”</w:t>
            </w:r>
            <w:r w:rsidR="007C1307" w:rsidRPr="009B03E3">
              <w:rPr>
                <w:rFonts w:ascii="Times New Roman" w:eastAsia="Times New Roman" w:hAnsi="Times New Roman"/>
                <w:sz w:val="24"/>
                <w:szCs w:val="24"/>
              </w:rPr>
              <w:t>, uzturot numerācijas datubāzi, tai skaitā informāciju par tiem galalietotāja lietošanā nodotajiem numuriem, kurus galalietotājs ir saglabājis, saņemot numura saglabāšanas pakalpojumu.</w:t>
            </w:r>
          </w:p>
          <w:p w14:paraId="649E2C0B" w14:textId="5DC8FA84" w:rsidR="0004008C" w:rsidRDefault="009C5617" w:rsidP="0004008C">
            <w:pPr>
              <w:spacing w:after="0" w:line="240" w:lineRule="auto"/>
              <w:jc w:val="both"/>
              <w:rPr>
                <w:rFonts w:ascii="Times New Roman" w:hAnsi="Times New Roman"/>
                <w:sz w:val="24"/>
                <w:szCs w:val="24"/>
              </w:rPr>
            </w:pPr>
            <w:r w:rsidRPr="009B03E3">
              <w:rPr>
                <w:rFonts w:ascii="Times New Roman" w:eastAsia="Times New Roman" w:hAnsi="Times New Roman"/>
                <w:sz w:val="24"/>
                <w:szCs w:val="24"/>
              </w:rPr>
              <w:t>Noteikumu projektā ir saglabāta Nodevas aprēķināšanas un maksāšanas kārtība</w:t>
            </w:r>
            <w:r w:rsidR="003D60CB" w:rsidRPr="009B03E3">
              <w:rPr>
                <w:rFonts w:ascii="Times New Roman" w:eastAsia="Times New Roman" w:hAnsi="Times New Roman"/>
                <w:sz w:val="24"/>
                <w:szCs w:val="24"/>
              </w:rPr>
              <w:t xml:space="preserve">, </w:t>
            </w:r>
            <w:r w:rsidR="0087415E" w:rsidRPr="009B03E3">
              <w:rPr>
                <w:rFonts w:ascii="Times New Roman" w:eastAsia="Times New Roman" w:hAnsi="Times New Roman"/>
                <w:sz w:val="24"/>
                <w:szCs w:val="24"/>
              </w:rPr>
              <w:t>k</w:t>
            </w:r>
            <w:r w:rsidR="007C1307" w:rsidRPr="009B03E3">
              <w:rPr>
                <w:rFonts w:ascii="Times New Roman" w:eastAsia="Times New Roman" w:hAnsi="Times New Roman"/>
                <w:sz w:val="24"/>
                <w:szCs w:val="24"/>
              </w:rPr>
              <w:t>āda ir</w:t>
            </w:r>
            <w:r w:rsidR="0087415E" w:rsidRPr="009B03E3">
              <w:rPr>
                <w:rFonts w:ascii="Times New Roman" w:eastAsia="Times New Roman" w:hAnsi="Times New Roman"/>
                <w:sz w:val="24"/>
                <w:szCs w:val="24"/>
              </w:rPr>
              <w:t xml:space="preserve"> noteikta Noteikumos Nr.892, </w:t>
            </w:r>
            <w:r w:rsidR="003D60CB" w:rsidRPr="009B03E3">
              <w:rPr>
                <w:rFonts w:ascii="Times New Roman" w:eastAsia="Times New Roman" w:hAnsi="Times New Roman"/>
                <w:sz w:val="24"/>
                <w:szCs w:val="24"/>
              </w:rPr>
              <w:t>saglabājot p</w:t>
            </w:r>
            <w:r w:rsidRPr="009B03E3">
              <w:rPr>
                <w:rFonts w:ascii="Times New Roman" w:eastAsia="Times New Roman" w:hAnsi="Times New Roman"/>
                <w:sz w:val="24"/>
                <w:szCs w:val="24"/>
              </w:rPr>
              <w:t>amatlikm</w:t>
            </w:r>
            <w:r w:rsidR="003D60CB" w:rsidRPr="009B03E3">
              <w:rPr>
                <w:rFonts w:ascii="Times New Roman" w:eastAsia="Times New Roman" w:hAnsi="Times New Roman"/>
                <w:sz w:val="24"/>
                <w:szCs w:val="24"/>
              </w:rPr>
              <w:t xml:space="preserve">i, </w:t>
            </w:r>
            <w:r w:rsidR="007C1307" w:rsidRPr="009B03E3">
              <w:rPr>
                <w:rFonts w:ascii="Times New Roman" w:eastAsia="Times New Roman" w:hAnsi="Times New Roman"/>
                <w:sz w:val="24"/>
                <w:szCs w:val="24"/>
              </w:rPr>
              <w:t>kas izriet no</w:t>
            </w:r>
            <w:r w:rsidR="003D60CB" w:rsidRPr="009B03E3">
              <w:rPr>
                <w:rFonts w:ascii="Times New Roman" w:eastAsia="Times New Roman" w:hAnsi="Times New Roman"/>
                <w:sz w:val="24"/>
                <w:szCs w:val="24"/>
              </w:rPr>
              <w:t xml:space="preserve"> </w:t>
            </w:r>
            <w:r w:rsidRPr="009B03E3">
              <w:rPr>
                <w:rFonts w:ascii="Times New Roman" w:hAnsi="Times New Roman"/>
                <w:sz w:val="24"/>
                <w:szCs w:val="24"/>
              </w:rPr>
              <w:t>koncepcij</w:t>
            </w:r>
            <w:r w:rsidR="003D60CB" w:rsidRPr="009B03E3">
              <w:rPr>
                <w:rFonts w:ascii="Times New Roman" w:hAnsi="Times New Roman"/>
                <w:sz w:val="24"/>
                <w:szCs w:val="24"/>
              </w:rPr>
              <w:t>as</w:t>
            </w:r>
            <w:r w:rsidRPr="009B03E3">
              <w:rPr>
                <w:rFonts w:ascii="Times New Roman" w:hAnsi="Times New Roman"/>
                <w:sz w:val="24"/>
                <w:szCs w:val="24"/>
              </w:rPr>
              <w:t xml:space="preserve"> </w:t>
            </w:r>
            <w:r w:rsidR="00033B2C">
              <w:rPr>
                <w:rFonts w:ascii="Times New Roman" w:hAnsi="Times New Roman"/>
                <w:sz w:val="24"/>
                <w:szCs w:val="24"/>
              </w:rPr>
              <w:t>“</w:t>
            </w:r>
            <w:r w:rsidRPr="009B03E3">
              <w:rPr>
                <w:rFonts w:ascii="Times New Roman" w:hAnsi="Times New Roman"/>
                <w:sz w:val="24"/>
                <w:szCs w:val="24"/>
              </w:rPr>
              <w:t xml:space="preserve">Ikgadējā valsts nodeva par radiofrekvenču spektra un </w:t>
            </w:r>
            <w:r w:rsidRPr="00DF6645">
              <w:rPr>
                <w:rFonts w:ascii="Times New Roman" w:hAnsi="Times New Roman"/>
                <w:sz w:val="24"/>
                <w:szCs w:val="24"/>
              </w:rPr>
              <w:t>numerācijas resursu lietošanas tiesībām</w:t>
            </w:r>
            <w:r w:rsidR="00033B2C">
              <w:rPr>
                <w:rFonts w:ascii="Times New Roman" w:hAnsi="Times New Roman"/>
                <w:sz w:val="24"/>
                <w:szCs w:val="24"/>
              </w:rPr>
              <w:t>”</w:t>
            </w:r>
            <w:r w:rsidRPr="00DF6645">
              <w:rPr>
                <w:rFonts w:ascii="Times New Roman" w:hAnsi="Times New Roman"/>
                <w:sz w:val="24"/>
                <w:szCs w:val="24"/>
              </w:rPr>
              <w:t xml:space="preserve"> (apstiprināta ar Ministru kabineta 2006.gada 25.jūlija rīkojumu Nr. 562 </w:t>
            </w:r>
            <w:r w:rsidR="00033B2C">
              <w:rPr>
                <w:rFonts w:ascii="Times New Roman" w:hAnsi="Times New Roman"/>
                <w:sz w:val="24"/>
                <w:szCs w:val="24"/>
              </w:rPr>
              <w:t>“</w:t>
            </w:r>
            <w:hyperlink r:id="rId8" w:tgtFrame="_blank" w:history="1">
              <w:r w:rsidRPr="00DF6645">
                <w:rPr>
                  <w:rFonts w:ascii="Times New Roman" w:hAnsi="Times New Roman"/>
                  <w:sz w:val="24"/>
                  <w:szCs w:val="24"/>
                </w:rPr>
                <w:t xml:space="preserve">Par koncepciju </w:t>
              </w:r>
              <w:r w:rsidR="00033B2C">
                <w:rPr>
                  <w:rFonts w:ascii="Times New Roman" w:hAnsi="Times New Roman"/>
                  <w:sz w:val="24"/>
                  <w:szCs w:val="24"/>
                </w:rPr>
                <w:t>“</w:t>
              </w:r>
              <w:r w:rsidRPr="00DF6645">
                <w:rPr>
                  <w:rFonts w:ascii="Times New Roman" w:hAnsi="Times New Roman"/>
                  <w:sz w:val="24"/>
                  <w:szCs w:val="24"/>
                </w:rPr>
                <w:t>Ikgadējā valsts nodeva par radiofrekvenču spektra un numerācijas resursu lietošanas tiesībām</w:t>
              </w:r>
              <w:r w:rsidR="00033B2C">
                <w:rPr>
                  <w:rFonts w:ascii="Times New Roman" w:hAnsi="Times New Roman"/>
                  <w:sz w:val="24"/>
                  <w:szCs w:val="24"/>
                </w:rPr>
                <w:t>”</w:t>
              </w:r>
            </w:hyperlink>
            <w:r w:rsidR="00033B2C">
              <w:rPr>
                <w:rFonts w:ascii="Times New Roman" w:hAnsi="Times New Roman"/>
                <w:sz w:val="24"/>
                <w:szCs w:val="24"/>
              </w:rPr>
              <w:t>”</w:t>
            </w:r>
            <w:r w:rsidRPr="00DF6645">
              <w:rPr>
                <w:rFonts w:ascii="Times New Roman" w:hAnsi="Times New Roman"/>
                <w:sz w:val="24"/>
                <w:szCs w:val="24"/>
              </w:rPr>
              <w:t xml:space="preserve">) </w:t>
            </w:r>
            <w:r w:rsidR="00D8402C" w:rsidRPr="00DF6645">
              <w:rPr>
                <w:rFonts w:ascii="Times New Roman" w:hAnsi="Times New Roman"/>
                <w:sz w:val="24"/>
                <w:szCs w:val="24"/>
              </w:rPr>
              <w:t xml:space="preserve">(turpmāk – Koncepcija) </w:t>
            </w:r>
            <w:r w:rsidR="006871D9">
              <w:rPr>
                <w:rFonts w:ascii="Times New Roman" w:hAnsi="Times New Roman"/>
                <w:sz w:val="24"/>
                <w:szCs w:val="24"/>
              </w:rPr>
              <w:t>4.4.</w:t>
            </w:r>
            <w:r w:rsidR="0080114C">
              <w:rPr>
                <w:rFonts w:ascii="Times New Roman" w:hAnsi="Times New Roman"/>
                <w:sz w:val="24"/>
                <w:szCs w:val="24"/>
              </w:rPr>
              <w:t>apakšnodaļ</w:t>
            </w:r>
            <w:r w:rsidR="00B96E59">
              <w:rPr>
                <w:rFonts w:ascii="Times New Roman" w:hAnsi="Times New Roman"/>
                <w:sz w:val="24"/>
                <w:szCs w:val="24"/>
              </w:rPr>
              <w:t>ā minētās bāzes likmes</w:t>
            </w:r>
            <w:r w:rsidR="006871D9">
              <w:rPr>
                <w:rFonts w:ascii="Times New Roman" w:hAnsi="Times New Roman"/>
                <w:sz w:val="24"/>
                <w:szCs w:val="24"/>
              </w:rPr>
              <w:t xml:space="preserve"> </w:t>
            </w:r>
            <w:r w:rsidRPr="00DF6645">
              <w:rPr>
                <w:rFonts w:ascii="Times New Roman" w:hAnsi="Times New Roman"/>
                <w:sz w:val="24"/>
                <w:szCs w:val="24"/>
              </w:rPr>
              <w:t>2. variant</w:t>
            </w:r>
            <w:r w:rsidR="007C1307" w:rsidRPr="00DF6645">
              <w:rPr>
                <w:rFonts w:ascii="Times New Roman" w:hAnsi="Times New Roman"/>
                <w:sz w:val="24"/>
                <w:szCs w:val="24"/>
              </w:rPr>
              <w:t>a</w:t>
            </w:r>
            <w:r w:rsidRPr="00DF6645">
              <w:rPr>
                <w:rFonts w:ascii="Times New Roman" w:hAnsi="Times New Roman"/>
                <w:sz w:val="24"/>
                <w:szCs w:val="24"/>
              </w:rPr>
              <w:t xml:space="preserve"> (0,17 </w:t>
            </w:r>
            <w:proofErr w:type="spellStart"/>
            <w:r w:rsidRPr="00DF6645">
              <w:rPr>
                <w:rFonts w:ascii="Times New Roman" w:hAnsi="Times New Roman"/>
                <w:i/>
                <w:iCs/>
                <w:sz w:val="24"/>
                <w:szCs w:val="24"/>
              </w:rPr>
              <w:t>euro</w:t>
            </w:r>
            <w:proofErr w:type="spellEnd"/>
            <w:r w:rsidRPr="00DF6645">
              <w:rPr>
                <w:rFonts w:ascii="Times New Roman" w:hAnsi="Times New Roman"/>
                <w:sz w:val="24"/>
                <w:szCs w:val="24"/>
              </w:rPr>
              <w:t xml:space="preserve">). </w:t>
            </w:r>
            <w:r w:rsidR="007C1307" w:rsidRPr="00DF6645">
              <w:rPr>
                <w:rFonts w:ascii="Times New Roman" w:hAnsi="Times New Roman"/>
                <w:sz w:val="24"/>
                <w:szCs w:val="24"/>
              </w:rPr>
              <w:t>Līdz ar to a</w:t>
            </w:r>
            <w:r w:rsidR="00930D16" w:rsidRPr="00DF6645">
              <w:rPr>
                <w:rFonts w:ascii="Times New Roman" w:hAnsi="Times New Roman"/>
                <w:sz w:val="24"/>
                <w:szCs w:val="24"/>
              </w:rPr>
              <w:t>r Noteikumu projekt</w:t>
            </w:r>
            <w:r w:rsidR="00BE7580">
              <w:rPr>
                <w:rFonts w:ascii="Times New Roman" w:hAnsi="Times New Roman"/>
                <w:sz w:val="24"/>
                <w:szCs w:val="24"/>
              </w:rPr>
              <w:t>ā</w:t>
            </w:r>
            <w:r w:rsidR="00930D16" w:rsidRPr="00DF6645">
              <w:rPr>
                <w:rFonts w:ascii="Times New Roman" w:hAnsi="Times New Roman"/>
                <w:sz w:val="24"/>
                <w:szCs w:val="24"/>
              </w:rPr>
              <w:t xml:space="preserve"> paredzētais Nodevas</w:t>
            </w:r>
            <w:r w:rsidRPr="00DF6645">
              <w:rPr>
                <w:rFonts w:ascii="Times New Roman" w:hAnsi="Times New Roman"/>
                <w:sz w:val="24"/>
                <w:szCs w:val="24"/>
              </w:rPr>
              <w:t xml:space="preserve"> apmērs ir </w:t>
            </w:r>
            <w:r w:rsidR="00930D16" w:rsidRPr="00DF6645">
              <w:rPr>
                <w:rFonts w:ascii="Times New Roman" w:hAnsi="Times New Roman"/>
                <w:sz w:val="24"/>
                <w:szCs w:val="24"/>
              </w:rPr>
              <w:t xml:space="preserve">neliels, kas pēc būtības nevar </w:t>
            </w:r>
            <w:r w:rsidRPr="00DF6645">
              <w:rPr>
                <w:rFonts w:ascii="Times New Roman" w:hAnsi="Times New Roman"/>
                <w:sz w:val="24"/>
                <w:szCs w:val="24"/>
              </w:rPr>
              <w:t>ietekmēt elektronisko sakaru pakalpojumu tarifus</w:t>
            </w:r>
            <w:r w:rsidR="00930D16" w:rsidRPr="00DF6645">
              <w:rPr>
                <w:rFonts w:ascii="Times New Roman" w:hAnsi="Times New Roman"/>
                <w:sz w:val="24"/>
                <w:szCs w:val="24"/>
              </w:rPr>
              <w:t>.</w:t>
            </w:r>
            <w:r w:rsidRPr="00DF6645">
              <w:rPr>
                <w:rFonts w:ascii="Times New Roman" w:hAnsi="Times New Roman"/>
                <w:sz w:val="24"/>
                <w:szCs w:val="24"/>
              </w:rPr>
              <w:t xml:space="preserve"> </w:t>
            </w:r>
            <w:r w:rsidR="00DF6645">
              <w:rPr>
                <w:rFonts w:ascii="Times New Roman" w:hAnsi="Times New Roman"/>
                <w:sz w:val="24"/>
                <w:szCs w:val="24"/>
              </w:rPr>
              <w:t>T</w:t>
            </w:r>
            <w:r w:rsidR="00DF6645" w:rsidRPr="00DF6645">
              <w:rPr>
                <w:rFonts w:ascii="Times New Roman" w:hAnsi="Times New Roman"/>
                <w:sz w:val="24"/>
                <w:szCs w:val="24"/>
              </w:rPr>
              <w:t xml:space="preserve">abulā </w:t>
            </w:r>
            <w:r w:rsidR="00033B2C">
              <w:rPr>
                <w:rFonts w:ascii="Times New Roman" w:hAnsi="Times New Roman"/>
                <w:sz w:val="24"/>
                <w:szCs w:val="24"/>
              </w:rPr>
              <w:t>“</w:t>
            </w:r>
            <w:r w:rsidR="00DF6645" w:rsidRPr="00DF6645">
              <w:rPr>
                <w:rFonts w:ascii="Times New Roman" w:hAnsi="Times New Roman"/>
                <w:sz w:val="24"/>
                <w:szCs w:val="24"/>
              </w:rPr>
              <w:t>Prognozējamie Nodevas maksājumi</w:t>
            </w:r>
            <w:r w:rsidR="00033B2C">
              <w:rPr>
                <w:rFonts w:ascii="Times New Roman" w:hAnsi="Times New Roman"/>
                <w:sz w:val="24"/>
                <w:szCs w:val="24"/>
              </w:rPr>
              <w:t>”</w:t>
            </w:r>
            <w:r w:rsidR="00DF6645" w:rsidRPr="00DF6645">
              <w:rPr>
                <w:rFonts w:ascii="Times New Roman" w:hAnsi="Times New Roman"/>
                <w:sz w:val="24"/>
                <w:szCs w:val="24"/>
              </w:rPr>
              <w:t xml:space="preserve"> ir </w:t>
            </w:r>
            <w:r w:rsidR="00DF6645">
              <w:rPr>
                <w:rFonts w:ascii="Times New Roman" w:hAnsi="Times New Roman"/>
                <w:sz w:val="24"/>
                <w:szCs w:val="24"/>
              </w:rPr>
              <w:t>indikatīvi prognozētais</w:t>
            </w:r>
            <w:r w:rsidR="00DF6645" w:rsidRPr="00DF6645">
              <w:rPr>
                <w:rFonts w:ascii="Times New Roman" w:hAnsi="Times New Roman"/>
                <w:sz w:val="24"/>
                <w:szCs w:val="24"/>
              </w:rPr>
              <w:t xml:space="preserve"> Nodevas apmērs 2021. un 2022.gadā 15 lielākajiem elektronisko sakaru komersantiem, ņemot vērā esošo piešķirto numerācijas apjomu un Nodevas apmēru par publiskā fiksētā telefonu tīkla numuru un publiskā mobilā telefonu tīkla numuru 0,04 </w:t>
            </w:r>
            <w:proofErr w:type="spellStart"/>
            <w:r w:rsidR="00DF6645" w:rsidRPr="00DF6645">
              <w:rPr>
                <w:rFonts w:ascii="Times New Roman" w:hAnsi="Times New Roman"/>
                <w:i/>
                <w:iCs/>
                <w:sz w:val="24"/>
                <w:szCs w:val="24"/>
              </w:rPr>
              <w:t>euro</w:t>
            </w:r>
            <w:proofErr w:type="spellEnd"/>
            <w:r w:rsidR="00DF6645" w:rsidRPr="00DF6645">
              <w:rPr>
                <w:rFonts w:ascii="Times New Roman" w:hAnsi="Times New Roman"/>
                <w:sz w:val="24"/>
                <w:szCs w:val="24"/>
              </w:rPr>
              <w:t xml:space="preserve"> gadā un par pakalpojumu numur</w:t>
            </w:r>
            <w:r w:rsidR="00BE7580">
              <w:rPr>
                <w:rFonts w:ascii="Times New Roman" w:hAnsi="Times New Roman"/>
                <w:sz w:val="24"/>
                <w:szCs w:val="24"/>
              </w:rPr>
              <w:t>u</w:t>
            </w:r>
            <w:r w:rsidR="00DF6645" w:rsidRPr="00DF6645">
              <w:rPr>
                <w:rFonts w:ascii="Times New Roman" w:hAnsi="Times New Roman"/>
                <w:sz w:val="24"/>
                <w:szCs w:val="24"/>
              </w:rPr>
              <w:t xml:space="preserve"> 2,40 </w:t>
            </w:r>
            <w:proofErr w:type="spellStart"/>
            <w:r w:rsidR="00DF6645" w:rsidRPr="00DF6645">
              <w:rPr>
                <w:rFonts w:ascii="Times New Roman" w:hAnsi="Times New Roman"/>
                <w:i/>
                <w:iCs/>
                <w:sz w:val="24"/>
                <w:szCs w:val="24"/>
              </w:rPr>
              <w:t>euro</w:t>
            </w:r>
            <w:proofErr w:type="spellEnd"/>
            <w:r w:rsidR="00DF6645" w:rsidRPr="00DF6645">
              <w:rPr>
                <w:rFonts w:ascii="Times New Roman" w:hAnsi="Times New Roman"/>
                <w:sz w:val="24"/>
                <w:szCs w:val="24"/>
              </w:rPr>
              <w:t xml:space="preserve"> gadā. Minētajā tabulā nav iekļauta informācija par Nodevas apmēru </w:t>
            </w:r>
            <w:proofErr w:type="spellStart"/>
            <w:r w:rsidR="00DF6645" w:rsidRPr="00DF6645">
              <w:rPr>
                <w:rFonts w:ascii="Times New Roman" w:hAnsi="Times New Roman"/>
                <w:i/>
                <w:iCs/>
                <w:sz w:val="24"/>
                <w:szCs w:val="24"/>
              </w:rPr>
              <w:t>IoT</w:t>
            </w:r>
            <w:proofErr w:type="spellEnd"/>
            <w:r w:rsidR="00DF6645" w:rsidRPr="00DF6645">
              <w:rPr>
                <w:rFonts w:ascii="Times New Roman" w:hAnsi="Times New Roman"/>
                <w:i/>
                <w:iCs/>
                <w:sz w:val="24"/>
                <w:szCs w:val="24"/>
              </w:rPr>
              <w:t xml:space="preserve">/M2M </w:t>
            </w:r>
            <w:r w:rsidR="00DF6645" w:rsidRPr="00DF6645">
              <w:rPr>
                <w:rFonts w:ascii="Times New Roman" w:hAnsi="Times New Roman"/>
                <w:sz w:val="24"/>
                <w:szCs w:val="24"/>
              </w:rPr>
              <w:t xml:space="preserve">numuriem, kurai, </w:t>
            </w:r>
            <w:r w:rsidR="00DF6645">
              <w:rPr>
                <w:rFonts w:ascii="Times New Roman" w:hAnsi="Times New Roman"/>
                <w:sz w:val="24"/>
                <w:szCs w:val="24"/>
              </w:rPr>
              <w:t xml:space="preserve">saskaņā ar informatīvo ziņojumu, </w:t>
            </w:r>
            <w:r w:rsidR="00DF6645" w:rsidRPr="00DF6645">
              <w:rPr>
                <w:rFonts w:ascii="Times New Roman" w:hAnsi="Times New Roman"/>
                <w:sz w:val="24"/>
                <w:szCs w:val="24"/>
              </w:rPr>
              <w:t>atkarībā no ciparu skaita numurā, jābūt 2 – 4 reizes zemākai par publiskā fiksētā telefonu tīkla numuru un publiskā mobilā telefonu tīkla numuru Nodevu</w:t>
            </w:r>
            <w:r w:rsidR="00DF6645">
              <w:rPr>
                <w:rFonts w:ascii="Times New Roman" w:hAnsi="Times New Roman"/>
                <w:sz w:val="24"/>
                <w:szCs w:val="24"/>
              </w:rPr>
              <w:t xml:space="preserve"> (attiecīgi 0</w:t>
            </w:r>
            <w:r w:rsidR="00BE7580">
              <w:rPr>
                <w:rFonts w:ascii="Times New Roman" w:hAnsi="Times New Roman"/>
                <w:sz w:val="24"/>
                <w:szCs w:val="24"/>
              </w:rPr>
              <w:t>,</w:t>
            </w:r>
            <w:r w:rsidR="00DF6645">
              <w:rPr>
                <w:rFonts w:ascii="Times New Roman" w:hAnsi="Times New Roman"/>
                <w:sz w:val="24"/>
                <w:szCs w:val="24"/>
              </w:rPr>
              <w:t xml:space="preserve">02 </w:t>
            </w:r>
            <w:proofErr w:type="spellStart"/>
            <w:r w:rsidR="00B963E3" w:rsidRPr="00DF6645">
              <w:rPr>
                <w:rFonts w:ascii="Times New Roman" w:hAnsi="Times New Roman"/>
                <w:i/>
                <w:iCs/>
                <w:sz w:val="24"/>
                <w:szCs w:val="24"/>
              </w:rPr>
              <w:t>euro</w:t>
            </w:r>
            <w:proofErr w:type="spellEnd"/>
            <w:r w:rsidR="00B963E3">
              <w:rPr>
                <w:rFonts w:ascii="Times New Roman" w:hAnsi="Times New Roman"/>
                <w:sz w:val="24"/>
                <w:szCs w:val="24"/>
              </w:rPr>
              <w:t xml:space="preserve"> </w:t>
            </w:r>
            <w:r w:rsidR="00DF6645">
              <w:rPr>
                <w:rFonts w:ascii="Times New Roman" w:hAnsi="Times New Roman"/>
                <w:sz w:val="24"/>
                <w:szCs w:val="24"/>
              </w:rPr>
              <w:t>un 0</w:t>
            </w:r>
            <w:r w:rsidR="00BE7580">
              <w:rPr>
                <w:rFonts w:ascii="Times New Roman" w:hAnsi="Times New Roman"/>
                <w:sz w:val="24"/>
                <w:szCs w:val="24"/>
              </w:rPr>
              <w:t>,</w:t>
            </w:r>
            <w:r w:rsidR="00DF6645">
              <w:rPr>
                <w:rFonts w:ascii="Times New Roman" w:hAnsi="Times New Roman"/>
                <w:sz w:val="24"/>
                <w:szCs w:val="24"/>
              </w:rPr>
              <w:t xml:space="preserve">01 </w:t>
            </w:r>
            <w:proofErr w:type="spellStart"/>
            <w:r w:rsidR="00DF6645" w:rsidRPr="00DF6645">
              <w:rPr>
                <w:rFonts w:ascii="Times New Roman" w:hAnsi="Times New Roman"/>
                <w:i/>
                <w:iCs/>
                <w:sz w:val="24"/>
                <w:szCs w:val="24"/>
              </w:rPr>
              <w:t>euro</w:t>
            </w:r>
            <w:proofErr w:type="spellEnd"/>
            <w:r w:rsidR="00DF6645">
              <w:rPr>
                <w:rFonts w:ascii="Times New Roman" w:hAnsi="Times New Roman"/>
                <w:sz w:val="24"/>
                <w:szCs w:val="24"/>
              </w:rPr>
              <w:t xml:space="preserve"> gadā</w:t>
            </w:r>
            <w:r w:rsidR="00C80A74">
              <w:rPr>
                <w:rFonts w:ascii="Times New Roman" w:hAnsi="Times New Roman"/>
                <w:sz w:val="24"/>
                <w:szCs w:val="24"/>
              </w:rPr>
              <w:t xml:space="preserve"> par vienu numuru</w:t>
            </w:r>
            <w:r w:rsidR="00DF6645">
              <w:rPr>
                <w:rFonts w:ascii="Times New Roman" w:hAnsi="Times New Roman"/>
                <w:sz w:val="24"/>
                <w:szCs w:val="24"/>
              </w:rPr>
              <w:t>)</w:t>
            </w:r>
            <w:r w:rsidR="00DF6645" w:rsidRPr="00DF6645">
              <w:rPr>
                <w:rFonts w:ascii="Times New Roman" w:hAnsi="Times New Roman"/>
                <w:sz w:val="24"/>
                <w:szCs w:val="24"/>
              </w:rPr>
              <w:t>.</w:t>
            </w:r>
          </w:p>
          <w:p w14:paraId="230C8727" w14:textId="012DA9ED" w:rsidR="0004008C" w:rsidRPr="0004008C" w:rsidRDefault="0004008C" w:rsidP="0004008C">
            <w:pPr>
              <w:spacing w:after="0" w:line="240" w:lineRule="auto"/>
              <w:jc w:val="both"/>
              <w:rPr>
                <w:rFonts w:ascii="Times New Roman" w:hAnsi="Times New Roman"/>
                <w:sz w:val="24"/>
                <w:szCs w:val="24"/>
              </w:rPr>
            </w:pPr>
            <w:r w:rsidRPr="0004008C">
              <w:rPr>
                <w:rFonts w:ascii="Times New Roman" w:hAnsi="Times New Roman"/>
                <w:sz w:val="24"/>
                <w:szCs w:val="24"/>
              </w:rPr>
              <w:lastRenderedPageBreak/>
              <w:t xml:space="preserve">Nodevas lielums - 0,04 </w:t>
            </w:r>
            <w:proofErr w:type="spellStart"/>
            <w:r w:rsidRPr="0004008C">
              <w:rPr>
                <w:rFonts w:ascii="Times New Roman" w:hAnsi="Times New Roman"/>
                <w:i/>
                <w:iCs/>
                <w:sz w:val="24"/>
                <w:szCs w:val="24"/>
              </w:rPr>
              <w:t>euro</w:t>
            </w:r>
            <w:proofErr w:type="spellEnd"/>
            <w:r w:rsidRPr="0004008C">
              <w:rPr>
                <w:rFonts w:ascii="Times New Roman" w:hAnsi="Times New Roman"/>
                <w:sz w:val="24"/>
                <w:szCs w:val="24"/>
              </w:rPr>
              <w:t xml:space="preserve"> gadā par </w:t>
            </w:r>
            <w:r w:rsidR="00BE7580" w:rsidRPr="00DF6645">
              <w:rPr>
                <w:rFonts w:ascii="Times New Roman" w:hAnsi="Times New Roman"/>
                <w:sz w:val="24"/>
                <w:szCs w:val="24"/>
              </w:rPr>
              <w:t xml:space="preserve">publiskā fiksētā telefonu tīkla numuru un publiskā mobilā telefonu tīkla </w:t>
            </w:r>
            <w:r w:rsidRPr="0004008C">
              <w:rPr>
                <w:rFonts w:ascii="Times New Roman" w:hAnsi="Times New Roman"/>
                <w:sz w:val="24"/>
                <w:szCs w:val="24"/>
              </w:rPr>
              <w:t>numuru joprojām būs mazākais starp Baltijas valstīm (Igaunij</w:t>
            </w:r>
            <w:r w:rsidR="00B963E3">
              <w:rPr>
                <w:rFonts w:ascii="Times New Roman" w:hAnsi="Times New Roman"/>
                <w:sz w:val="24"/>
                <w:szCs w:val="24"/>
              </w:rPr>
              <w:t>as Republikā</w:t>
            </w:r>
            <w:r w:rsidRPr="0004008C">
              <w:rPr>
                <w:rFonts w:ascii="Times New Roman" w:hAnsi="Times New Roman"/>
                <w:sz w:val="24"/>
                <w:szCs w:val="24"/>
              </w:rPr>
              <w:t xml:space="preserve"> – 0,35 </w:t>
            </w:r>
            <w:proofErr w:type="spellStart"/>
            <w:r w:rsidRPr="0004008C">
              <w:rPr>
                <w:rFonts w:ascii="Times New Roman" w:hAnsi="Times New Roman"/>
                <w:i/>
                <w:iCs/>
                <w:sz w:val="24"/>
                <w:szCs w:val="24"/>
              </w:rPr>
              <w:t>euro</w:t>
            </w:r>
            <w:proofErr w:type="spellEnd"/>
            <w:r w:rsidRPr="0004008C">
              <w:rPr>
                <w:rFonts w:ascii="Times New Roman" w:hAnsi="Times New Roman"/>
                <w:sz w:val="24"/>
                <w:szCs w:val="24"/>
              </w:rPr>
              <w:t>, Lietuv</w:t>
            </w:r>
            <w:r w:rsidR="00B963E3">
              <w:rPr>
                <w:rFonts w:ascii="Times New Roman" w:hAnsi="Times New Roman"/>
                <w:sz w:val="24"/>
                <w:szCs w:val="24"/>
              </w:rPr>
              <w:t>as Republikā</w:t>
            </w:r>
            <w:r w:rsidRPr="0004008C">
              <w:rPr>
                <w:rFonts w:ascii="Times New Roman" w:hAnsi="Times New Roman"/>
                <w:sz w:val="24"/>
                <w:szCs w:val="24"/>
              </w:rPr>
              <w:t xml:space="preserve"> – 0,07 </w:t>
            </w:r>
            <w:proofErr w:type="spellStart"/>
            <w:r w:rsidRPr="0004008C">
              <w:rPr>
                <w:rFonts w:ascii="Times New Roman" w:hAnsi="Times New Roman"/>
                <w:i/>
                <w:iCs/>
                <w:sz w:val="24"/>
                <w:szCs w:val="24"/>
              </w:rPr>
              <w:t>euro</w:t>
            </w:r>
            <w:proofErr w:type="spellEnd"/>
            <w:r w:rsidRPr="0004008C">
              <w:rPr>
                <w:rFonts w:ascii="Times New Roman" w:hAnsi="Times New Roman"/>
                <w:sz w:val="24"/>
                <w:szCs w:val="24"/>
              </w:rPr>
              <w:t xml:space="preserve">). Kopējais piedāvātās Nodevas apjoms gadā sastādīs tikai aptuveni 0,1% no visu Latvijas </w:t>
            </w:r>
            <w:r w:rsidR="00B963E3">
              <w:rPr>
                <w:rFonts w:ascii="Times New Roman" w:hAnsi="Times New Roman"/>
                <w:sz w:val="24"/>
                <w:szCs w:val="24"/>
              </w:rPr>
              <w:t>Republikas elektronisko sakaru komersantu</w:t>
            </w:r>
            <w:r w:rsidRPr="0004008C">
              <w:rPr>
                <w:rFonts w:ascii="Times New Roman" w:hAnsi="Times New Roman"/>
                <w:sz w:val="24"/>
                <w:szCs w:val="24"/>
              </w:rPr>
              <w:t xml:space="preserve"> apgrozījuma gadā. </w:t>
            </w:r>
          </w:p>
          <w:p w14:paraId="32A99EE3" w14:textId="77777777" w:rsidR="00DF6645" w:rsidRDefault="0004008C" w:rsidP="0004008C">
            <w:pPr>
              <w:spacing w:after="0" w:line="240" w:lineRule="auto"/>
              <w:jc w:val="both"/>
              <w:rPr>
                <w:szCs w:val="24"/>
              </w:rPr>
            </w:pPr>
            <w:r>
              <w:rPr>
                <w:rFonts w:ascii="Times New Roman" w:hAnsi="Times New Roman"/>
                <w:sz w:val="24"/>
                <w:szCs w:val="24"/>
              </w:rPr>
              <w:t>Atzīmējams</w:t>
            </w:r>
            <w:r w:rsidR="00DF6645" w:rsidRPr="00DF6645">
              <w:rPr>
                <w:rFonts w:ascii="Times New Roman" w:hAnsi="Times New Roman"/>
                <w:sz w:val="24"/>
                <w:szCs w:val="24"/>
              </w:rPr>
              <w:t>, ka prognozē</w:t>
            </w:r>
            <w:r>
              <w:rPr>
                <w:rFonts w:ascii="Times New Roman" w:hAnsi="Times New Roman"/>
                <w:sz w:val="24"/>
                <w:szCs w:val="24"/>
              </w:rPr>
              <w:t>ta</w:t>
            </w:r>
            <w:r w:rsidR="00DF6645" w:rsidRPr="00DF6645">
              <w:rPr>
                <w:rFonts w:ascii="Times New Roman" w:hAnsi="Times New Roman"/>
                <w:sz w:val="24"/>
                <w:szCs w:val="24"/>
              </w:rPr>
              <w:t xml:space="preserve">is Nodevas apmērs ir tikai indikatīvs, jo </w:t>
            </w:r>
            <w:r w:rsidR="00DF6645">
              <w:rPr>
                <w:rFonts w:ascii="Times New Roman" w:hAnsi="Times New Roman"/>
                <w:sz w:val="24"/>
                <w:szCs w:val="24"/>
              </w:rPr>
              <w:t xml:space="preserve">sagaidāms, ka </w:t>
            </w:r>
            <w:r w:rsidR="00DF6645" w:rsidRPr="00DF6645">
              <w:rPr>
                <w:rFonts w:ascii="Times New Roman" w:hAnsi="Times New Roman"/>
                <w:sz w:val="24"/>
                <w:szCs w:val="24"/>
              </w:rPr>
              <w:t>elektronisko sakaru komersanti</w:t>
            </w:r>
            <w:r w:rsidR="00DF6645">
              <w:rPr>
                <w:rFonts w:ascii="Times New Roman" w:hAnsi="Times New Roman"/>
                <w:sz w:val="24"/>
                <w:szCs w:val="24"/>
              </w:rPr>
              <w:t xml:space="preserve"> </w:t>
            </w:r>
            <w:r w:rsidR="00DF6645" w:rsidRPr="00DF6645">
              <w:rPr>
                <w:rFonts w:ascii="Times New Roman" w:hAnsi="Times New Roman"/>
                <w:sz w:val="24"/>
                <w:szCs w:val="24"/>
              </w:rPr>
              <w:t>kritiskāk izvērtēs</w:t>
            </w:r>
            <w:r w:rsidR="00DF6645">
              <w:rPr>
                <w:rFonts w:ascii="Times New Roman" w:hAnsi="Times New Roman"/>
                <w:sz w:val="24"/>
                <w:szCs w:val="24"/>
              </w:rPr>
              <w:t xml:space="preserve"> jau </w:t>
            </w:r>
            <w:r w:rsidR="00DF6645" w:rsidRPr="00DF6645">
              <w:rPr>
                <w:rFonts w:ascii="Times New Roman" w:hAnsi="Times New Roman"/>
                <w:sz w:val="24"/>
                <w:szCs w:val="24"/>
              </w:rPr>
              <w:t>piešķirtā</w:t>
            </w:r>
            <w:r w:rsidR="00DF6645">
              <w:rPr>
                <w:rFonts w:ascii="Times New Roman" w:hAnsi="Times New Roman"/>
                <w:sz w:val="24"/>
                <w:szCs w:val="24"/>
              </w:rPr>
              <w:t>s</w:t>
            </w:r>
            <w:r w:rsidR="00DF6645" w:rsidRPr="00DF6645">
              <w:rPr>
                <w:rFonts w:ascii="Times New Roman" w:hAnsi="Times New Roman"/>
                <w:sz w:val="24"/>
                <w:szCs w:val="24"/>
              </w:rPr>
              <w:t xml:space="preserve"> numerācija</w:t>
            </w:r>
            <w:r w:rsidR="00DF6645">
              <w:rPr>
                <w:rFonts w:ascii="Times New Roman" w:hAnsi="Times New Roman"/>
                <w:sz w:val="24"/>
                <w:szCs w:val="24"/>
              </w:rPr>
              <w:t>s</w:t>
            </w:r>
            <w:r w:rsidR="00DF6645" w:rsidRPr="00DF6645">
              <w:rPr>
                <w:rFonts w:ascii="Times New Roman" w:hAnsi="Times New Roman"/>
                <w:sz w:val="24"/>
                <w:szCs w:val="24"/>
              </w:rPr>
              <w:t xml:space="preserve"> izmanto</w:t>
            </w:r>
            <w:r w:rsidR="00DF6645">
              <w:rPr>
                <w:rFonts w:ascii="Times New Roman" w:hAnsi="Times New Roman"/>
                <w:sz w:val="24"/>
                <w:szCs w:val="24"/>
              </w:rPr>
              <w:t>šanas</w:t>
            </w:r>
            <w:r w:rsidR="00DF6645" w:rsidRPr="00DF6645">
              <w:rPr>
                <w:rFonts w:ascii="Times New Roman" w:hAnsi="Times New Roman"/>
                <w:sz w:val="24"/>
                <w:szCs w:val="24"/>
              </w:rPr>
              <w:t xml:space="preserve"> </w:t>
            </w:r>
            <w:r w:rsidR="00B963E3" w:rsidRPr="00DF6645">
              <w:rPr>
                <w:rFonts w:ascii="Times New Roman" w:hAnsi="Times New Roman"/>
                <w:sz w:val="24"/>
                <w:szCs w:val="24"/>
              </w:rPr>
              <w:t>efekt</w:t>
            </w:r>
            <w:r w:rsidR="00B963E3">
              <w:rPr>
                <w:rFonts w:ascii="Times New Roman" w:hAnsi="Times New Roman"/>
                <w:sz w:val="24"/>
                <w:szCs w:val="24"/>
              </w:rPr>
              <w:t>i</w:t>
            </w:r>
            <w:r w:rsidR="00B963E3" w:rsidRPr="00DF6645">
              <w:rPr>
                <w:rFonts w:ascii="Times New Roman" w:hAnsi="Times New Roman"/>
                <w:sz w:val="24"/>
                <w:szCs w:val="24"/>
              </w:rPr>
              <w:t>vi</w:t>
            </w:r>
            <w:r w:rsidR="00B963E3">
              <w:rPr>
                <w:rFonts w:ascii="Times New Roman" w:hAnsi="Times New Roman"/>
                <w:sz w:val="24"/>
                <w:szCs w:val="24"/>
              </w:rPr>
              <w:t>tāti</w:t>
            </w:r>
            <w:r w:rsidR="00DF6645" w:rsidRPr="00DF6645">
              <w:rPr>
                <w:rFonts w:ascii="Times New Roman" w:hAnsi="Times New Roman"/>
                <w:sz w:val="24"/>
                <w:szCs w:val="24"/>
              </w:rPr>
              <w:t>. Līdz ar to elektronisko sakaru komersants varēs atteikties no neefektīvi izmantot</w:t>
            </w:r>
            <w:r w:rsidR="00BE7580">
              <w:rPr>
                <w:rFonts w:ascii="Times New Roman" w:hAnsi="Times New Roman"/>
                <w:sz w:val="24"/>
                <w:szCs w:val="24"/>
              </w:rPr>
              <w:t>ajām</w:t>
            </w:r>
            <w:r w:rsidR="00DF6645" w:rsidRPr="00DF6645">
              <w:rPr>
                <w:rFonts w:ascii="Times New Roman" w:hAnsi="Times New Roman"/>
                <w:sz w:val="24"/>
                <w:szCs w:val="24"/>
              </w:rPr>
              <w:t xml:space="preserve"> numerācijas lietošanas tiesībām, tādejādi samazinot Nodevas maksas apmēru.</w:t>
            </w:r>
            <w:r w:rsidR="00DF6645">
              <w:rPr>
                <w:szCs w:val="24"/>
              </w:rPr>
              <w:t xml:space="preserve"> </w:t>
            </w:r>
          </w:p>
          <w:p w14:paraId="30413B64" w14:textId="77777777" w:rsidR="00BE7580" w:rsidRDefault="00BE7580" w:rsidP="0004008C">
            <w:pPr>
              <w:spacing w:after="0" w:line="240" w:lineRule="auto"/>
              <w:jc w:val="both"/>
              <w:rPr>
                <w:szCs w:val="24"/>
              </w:rPr>
            </w:pPr>
          </w:p>
          <w:p w14:paraId="51902566" w14:textId="77777777" w:rsidR="00CA6DE6" w:rsidRPr="00316A4A" w:rsidRDefault="00033B2C" w:rsidP="00DF6645">
            <w:pPr>
              <w:jc w:val="both"/>
              <w:rPr>
                <w:rFonts w:ascii="Times New Roman" w:hAnsi="Times New Roman"/>
                <w:sz w:val="20"/>
                <w:szCs w:val="20"/>
              </w:rPr>
            </w:pPr>
            <w:r w:rsidRPr="00316A4A">
              <w:rPr>
                <w:rFonts w:ascii="Times New Roman" w:hAnsi="Times New Roman"/>
                <w:sz w:val="20"/>
                <w:szCs w:val="20"/>
              </w:rPr>
              <w:t>“</w:t>
            </w:r>
            <w:r w:rsidR="000C6057" w:rsidRPr="00316A4A">
              <w:rPr>
                <w:rFonts w:ascii="Times New Roman" w:hAnsi="Times New Roman"/>
                <w:sz w:val="20"/>
                <w:szCs w:val="20"/>
              </w:rPr>
              <w:t xml:space="preserve">Indikatīvie </w:t>
            </w:r>
            <w:r w:rsidR="00CA6DE6" w:rsidRPr="00316A4A">
              <w:rPr>
                <w:rFonts w:ascii="Times New Roman" w:hAnsi="Times New Roman"/>
                <w:sz w:val="20"/>
                <w:szCs w:val="20"/>
              </w:rPr>
              <w:t>Nodevas maksājumi</w:t>
            </w:r>
            <w:r w:rsidR="00225D03" w:rsidRPr="00316A4A">
              <w:rPr>
                <w:rFonts w:ascii="Times New Roman" w:hAnsi="Times New Roman"/>
                <w:sz w:val="20"/>
                <w:szCs w:val="20"/>
              </w:rPr>
              <w:t>, neskaitot īsos kodus</w:t>
            </w:r>
            <w:r w:rsidR="000C6057" w:rsidRPr="00316A4A">
              <w:rPr>
                <w:rFonts w:ascii="Times New Roman" w:hAnsi="Times New Roman"/>
                <w:sz w:val="20"/>
                <w:szCs w:val="20"/>
              </w:rPr>
              <w:t>,</w:t>
            </w:r>
            <w:r w:rsidR="00225D03" w:rsidRPr="00316A4A">
              <w:rPr>
                <w:rFonts w:ascii="Times New Roman" w:hAnsi="Times New Roman"/>
                <w:sz w:val="20"/>
                <w:szCs w:val="20"/>
              </w:rPr>
              <w:t xml:space="preserve"> īsos numurus</w:t>
            </w:r>
            <w:r w:rsidR="000C6057" w:rsidRPr="00316A4A">
              <w:rPr>
                <w:rFonts w:ascii="Times New Roman" w:hAnsi="Times New Roman"/>
                <w:sz w:val="20"/>
                <w:szCs w:val="20"/>
              </w:rPr>
              <w:t xml:space="preserve"> un </w:t>
            </w:r>
            <w:proofErr w:type="spellStart"/>
            <w:r w:rsidR="000C6057" w:rsidRPr="00316A4A">
              <w:rPr>
                <w:rFonts w:ascii="Times New Roman" w:hAnsi="Times New Roman"/>
                <w:i/>
                <w:iCs/>
                <w:sz w:val="20"/>
                <w:szCs w:val="20"/>
              </w:rPr>
              <w:t>IoT</w:t>
            </w:r>
            <w:proofErr w:type="spellEnd"/>
            <w:r w:rsidR="000C6057" w:rsidRPr="00316A4A">
              <w:rPr>
                <w:rFonts w:ascii="Times New Roman" w:hAnsi="Times New Roman"/>
                <w:i/>
                <w:iCs/>
                <w:sz w:val="20"/>
                <w:szCs w:val="20"/>
              </w:rPr>
              <w:t>/M2M</w:t>
            </w:r>
            <w:r w:rsidR="00E165FF" w:rsidRPr="00316A4A">
              <w:rPr>
                <w:rFonts w:ascii="Times New Roman" w:hAnsi="Times New Roman"/>
                <w:i/>
                <w:iCs/>
                <w:sz w:val="20"/>
                <w:szCs w:val="20"/>
              </w:rPr>
              <w:t xml:space="preserve"> </w:t>
            </w:r>
            <w:r w:rsidR="00E165FF" w:rsidRPr="00316A4A">
              <w:rPr>
                <w:rFonts w:ascii="Times New Roman" w:hAnsi="Times New Roman"/>
                <w:sz w:val="20"/>
                <w:szCs w:val="20"/>
              </w:rPr>
              <w:t>numurus</w:t>
            </w:r>
            <w:r w:rsidRPr="00316A4A">
              <w:rPr>
                <w:rFonts w:ascii="Times New Roman" w:hAnsi="Times New Roman"/>
                <w:sz w:val="20"/>
                <w:szCs w:val="20"/>
              </w:rPr>
              <w:t>”</w:t>
            </w:r>
            <w:r w:rsidR="00CA6DE6" w:rsidRPr="00316A4A">
              <w:rPr>
                <w:rFonts w:ascii="Times New Roman" w:hAnsi="Times New Roman"/>
                <w:sz w:val="20"/>
                <w:szCs w:val="20"/>
              </w:rPr>
              <w:t>*</w:t>
            </w:r>
          </w:p>
          <w:tbl>
            <w:tblPr>
              <w:tblW w:w="7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1726"/>
              <w:gridCol w:w="1105"/>
              <w:gridCol w:w="1123"/>
              <w:gridCol w:w="1123"/>
              <w:gridCol w:w="998"/>
              <w:gridCol w:w="1123"/>
            </w:tblGrid>
            <w:tr w:rsidR="00316A4A" w:rsidRPr="00316A4A" w14:paraId="5B38F230" w14:textId="77777777" w:rsidTr="00316A4A">
              <w:trPr>
                <w:trHeight w:val="2600"/>
              </w:trPr>
              <w:tc>
                <w:tcPr>
                  <w:tcW w:w="745" w:type="dxa"/>
                  <w:shd w:val="clear" w:color="auto" w:fill="auto"/>
                  <w:noWrap/>
                  <w:vAlign w:val="center"/>
                  <w:hideMark/>
                </w:tcPr>
                <w:p w14:paraId="21F78B21" w14:textId="77777777" w:rsidR="006C1726" w:rsidRPr="00316A4A" w:rsidRDefault="006C1726" w:rsidP="006C1726">
                  <w:pPr>
                    <w:spacing w:after="0" w:line="240" w:lineRule="auto"/>
                    <w:jc w:val="center"/>
                    <w:rPr>
                      <w:rFonts w:ascii="Times New Roman" w:eastAsia="Times New Roman" w:hAnsi="Times New Roman"/>
                      <w:bCs/>
                      <w:iCs/>
                      <w:sz w:val="16"/>
                      <w:szCs w:val="16"/>
                      <w:lang w:eastAsia="lv-LV"/>
                    </w:rPr>
                  </w:pPr>
                  <w:proofErr w:type="spellStart"/>
                  <w:r w:rsidRPr="00316A4A">
                    <w:rPr>
                      <w:rFonts w:ascii="Times New Roman" w:eastAsia="Times New Roman" w:hAnsi="Times New Roman"/>
                      <w:bCs/>
                      <w:iCs/>
                      <w:sz w:val="16"/>
                      <w:szCs w:val="16"/>
                      <w:lang w:eastAsia="lv-LV"/>
                    </w:rPr>
                    <w:t>Nr.p.k</w:t>
                  </w:r>
                  <w:proofErr w:type="spellEnd"/>
                  <w:r w:rsidRPr="00316A4A">
                    <w:rPr>
                      <w:rFonts w:ascii="Times New Roman" w:eastAsia="Times New Roman" w:hAnsi="Times New Roman"/>
                      <w:bCs/>
                      <w:iCs/>
                      <w:sz w:val="16"/>
                      <w:szCs w:val="16"/>
                      <w:lang w:eastAsia="lv-LV"/>
                    </w:rPr>
                    <w:t>.</w:t>
                  </w:r>
                </w:p>
              </w:tc>
              <w:tc>
                <w:tcPr>
                  <w:tcW w:w="1532" w:type="dxa"/>
                  <w:shd w:val="clear" w:color="auto" w:fill="auto"/>
                  <w:vAlign w:val="center"/>
                  <w:hideMark/>
                </w:tcPr>
                <w:p w14:paraId="30A138FF" w14:textId="77777777" w:rsidR="006C1726" w:rsidRPr="00316A4A" w:rsidRDefault="006C1726" w:rsidP="006C1726">
                  <w:pPr>
                    <w:spacing w:after="0" w:line="240" w:lineRule="auto"/>
                    <w:jc w:val="center"/>
                    <w:rPr>
                      <w:rFonts w:ascii="Times New Roman" w:eastAsia="Times New Roman" w:hAnsi="Times New Roman"/>
                      <w:iCs/>
                      <w:sz w:val="16"/>
                      <w:szCs w:val="16"/>
                      <w:lang w:eastAsia="lv-LV"/>
                    </w:rPr>
                  </w:pPr>
                  <w:r w:rsidRPr="00316A4A">
                    <w:rPr>
                      <w:rFonts w:ascii="Times New Roman" w:eastAsia="Times New Roman" w:hAnsi="Times New Roman"/>
                      <w:iCs/>
                      <w:sz w:val="16"/>
                      <w:szCs w:val="16"/>
                      <w:lang w:eastAsia="lv-LV"/>
                    </w:rPr>
                    <w:t>Elektronisko sakaru komersants</w:t>
                  </w:r>
                </w:p>
              </w:tc>
              <w:tc>
                <w:tcPr>
                  <w:tcW w:w="1097" w:type="dxa"/>
                  <w:shd w:val="clear" w:color="auto" w:fill="auto"/>
                  <w:vAlign w:val="center"/>
                  <w:hideMark/>
                </w:tcPr>
                <w:p w14:paraId="34145778" w14:textId="77777777" w:rsidR="006C1726" w:rsidRPr="00316A4A" w:rsidRDefault="006C1726" w:rsidP="006C1726">
                  <w:pPr>
                    <w:spacing w:after="0" w:line="240" w:lineRule="auto"/>
                    <w:jc w:val="center"/>
                    <w:rPr>
                      <w:rFonts w:ascii="Times New Roman" w:eastAsia="Times New Roman" w:hAnsi="Times New Roman"/>
                      <w:sz w:val="16"/>
                      <w:szCs w:val="16"/>
                      <w:lang w:eastAsia="lv-LV"/>
                    </w:rPr>
                  </w:pPr>
                  <w:r w:rsidRPr="00316A4A">
                    <w:rPr>
                      <w:rFonts w:ascii="Times New Roman" w:eastAsia="Times New Roman" w:hAnsi="Times New Roman"/>
                      <w:sz w:val="16"/>
                      <w:szCs w:val="16"/>
                      <w:lang w:eastAsia="lv-LV"/>
                    </w:rPr>
                    <w:t>Maksājumi par nacionāliem numuriem, no 01.01.2021.</w:t>
                  </w:r>
                  <w:r w:rsidRPr="00316A4A">
                    <w:rPr>
                      <w:rFonts w:ascii="Times New Roman" w:eastAsia="Times New Roman" w:hAnsi="Times New Roman"/>
                      <w:sz w:val="16"/>
                      <w:szCs w:val="16"/>
                      <w:lang w:eastAsia="lv-LV"/>
                    </w:rPr>
                    <w:br/>
                    <w:t>(pakalpojumu numuri), EUR</w:t>
                  </w:r>
                </w:p>
              </w:tc>
              <w:tc>
                <w:tcPr>
                  <w:tcW w:w="1007" w:type="dxa"/>
                  <w:shd w:val="clear" w:color="auto" w:fill="auto"/>
                  <w:vAlign w:val="center"/>
                  <w:hideMark/>
                </w:tcPr>
                <w:p w14:paraId="0B6C5F5A" w14:textId="77777777" w:rsidR="006C1726" w:rsidRPr="00316A4A" w:rsidRDefault="006C1726" w:rsidP="0095464A">
                  <w:pPr>
                    <w:spacing w:after="0" w:line="240" w:lineRule="auto"/>
                    <w:jc w:val="center"/>
                    <w:rPr>
                      <w:rFonts w:ascii="Times New Roman" w:eastAsia="Times New Roman" w:hAnsi="Times New Roman"/>
                      <w:sz w:val="16"/>
                      <w:szCs w:val="16"/>
                      <w:lang w:eastAsia="lv-LV"/>
                    </w:rPr>
                  </w:pPr>
                  <w:r w:rsidRPr="00316A4A">
                    <w:rPr>
                      <w:rFonts w:ascii="Times New Roman" w:eastAsia="Times New Roman" w:hAnsi="Times New Roman"/>
                      <w:sz w:val="16"/>
                      <w:szCs w:val="16"/>
                      <w:lang w:eastAsia="lv-LV"/>
                    </w:rPr>
                    <w:t>Maksājumi par  identifikācijas kodiem, no 01.01.2021. EUR</w:t>
                  </w:r>
                </w:p>
              </w:tc>
              <w:tc>
                <w:tcPr>
                  <w:tcW w:w="1007" w:type="dxa"/>
                  <w:shd w:val="clear" w:color="auto" w:fill="auto"/>
                  <w:vAlign w:val="center"/>
                  <w:hideMark/>
                </w:tcPr>
                <w:p w14:paraId="5792C17B" w14:textId="77777777" w:rsidR="006C1726" w:rsidRPr="00316A4A" w:rsidRDefault="006C1726" w:rsidP="006C1726">
                  <w:pPr>
                    <w:spacing w:after="0" w:line="240" w:lineRule="auto"/>
                    <w:jc w:val="center"/>
                    <w:rPr>
                      <w:rFonts w:ascii="Times New Roman" w:eastAsia="Times New Roman" w:hAnsi="Times New Roman"/>
                      <w:sz w:val="16"/>
                      <w:szCs w:val="16"/>
                      <w:lang w:eastAsia="lv-LV"/>
                    </w:rPr>
                  </w:pPr>
                  <w:r w:rsidRPr="00316A4A">
                    <w:rPr>
                      <w:rFonts w:ascii="Times New Roman" w:eastAsia="Times New Roman" w:hAnsi="Times New Roman"/>
                      <w:sz w:val="16"/>
                      <w:szCs w:val="16"/>
                      <w:lang w:eastAsia="lv-LV"/>
                    </w:rPr>
                    <w:t>Maksājumi kopā par nacionāliem numuriem un identifikācijas kodiem, no 01.01.2021. (2+3), EUR</w:t>
                  </w:r>
                </w:p>
              </w:tc>
              <w:tc>
                <w:tcPr>
                  <w:tcW w:w="940" w:type="dxa"/>
                  <w:shd w:val="clear" w:color="auto" w:fill="auto"/>
                  <w:vAlign w:val="center"/>
                  <w:hideMark/>
                </w:tcPr>
                <w:p w14:paraId="341577F5" w14:textId="77777777" w:rsidR="006C1726" w:rsidRPr="00316A4A" w:rsidRDefault="006C1726" w:rsidP="006C1726">
                  <w:pPr>
                    <w:spacing w:after="0" w:line="240" w:lineRule="auto"/>
                    <w:jc w:val="center"/>
                    <w:rPr>
                      <w:rFonts w:ascii="Times New Roman" w:eastAsia="Times New Roman" w:hAnsi="Times New Roman"/>
                      <w:sz w:val="16"/>
                      <w:szCs w:val="16"/>
                      <w:lang w:eastAsia="lv-LV"/>
                    </w:rPr>
                  </w:pPr>
                  <w:r w:rsidRPr="00316A4A">
                    <w:rPr>
                      <w:rFonts w:ascii="Times New Roman" w:eastAsia="Times New Roman" w:hAnsi="Times New Roman"/>
                      <w:sz w:val="16"/>
                      <w:szCs w:val="16"/>
                      <w:lang w:eastAsia="lv-LV"/>
                    </w:rPr>
                    <w:t>Maks</w:t>
                  </w:r>
                  <w:r w:rsidR="00316A4A">
                    <w:rPr>
                      <w:rFonts w:ascii="Times New Roman" w:eastAsia="Times New Roman" w:hAnsi="Times New Roman"/>
                      <w:sz w:val="16"/>
                      <w:szCs w:val="16"/>
                      <w:lang w:eastAsia="lv-LV"/>
                    </w:rPr>
                    <w:t xml:space="preserve">ājumi par nacionāliem numuriem, </w:t>
                  </w:r>
                  <w:r w:rsidRPr="00316A4A">
                    <w:rPr>
                      <w:rFonts w:ascii="Times New Roman" w:eastAsia="Times New Roman" w:hAnsi="Times New Roman"/>
                      <w:sz w:val="16"/>
                      <w:szCs w:val="16"/>
                      <w:lang w:eastAsia="lv-LV"/>
                    </w:rPr>
                    <w:t>no 01.01.2022. (publisko fiksēto un publisko mobilo telefonu tīklu numuri), EUR</w:t>
                  </w:r>
                </w:p>
              </w:tc>
              <w:tc>
                <w:tcPr>
                  <w:tcW w:w="1007" w:type="dxa"/>
                  <w:shd w:val="clear" w:color="auto" w:fill="auto"/>
                  <w:vAlign w:val="center"/>
                  <w:hideMark/>
                </w:tcPr>
                <w:p w14:paraId="36A7B78A" w14:textId="77777777" w:rsidR="006C1726" w:rsidRPr="00316A4A" w:rsidRDefault="006C1726" w:rsidP="006C1726">
                  <w:pPr>
                    <w:spacing w:after="0" w:line="240" w:lineRule="auto"/>
                    <w:jc w:val="center"/>
                    <w:rPr>
                      <w:rFonts w:ascii="Times New Roman" w:eastAsia="Times New Roman" w:hAnsi="Times New Roman"/>
                      <w:sz w:val="16"/>
                      <w:szCs w:val="16"/>
                      <w:lang w:eastAsia="lv-LV"/>
                    </w:rPr>
                  </w:pPr>
                  <w:r w:rsidRPr="00316A4A">
                    <w:rPr>
                      <w:rFonts w:ascii="Times New Roman" w:eastAsia="Times New Roman" w:hAnsi="Times New Roman"/>
                      <w:sz w:val="16"/>
                      <w:szCs w:val="16"/>
                      <w:lang w:eastAsia="lv-LV"/>
                    </w:rPr>
                    <w:t>Maksājumi kopā par nacionāliem numuriem un identifikā</w:t>
                  </w:r>
                  <w:r w:rsidR="0095464A" w:rsidRPr="00316A4A">
                    <w:rPr>
                      <w:rFonts w:ascii="Times New Roman" w:eastAsia="Times New Roman" w:hAnsi="Times New Roman"/>
                      <w:sz w:val="16"/>
                      <w:szCs w:val="16"/>
                      <w:lang w:eastAsia="lv-LV"/>
                    </w:rPr>
                    <w:t>cijas kodiem, no 01.01.2022. (</w:t>
                  </w:r>
                  <w:r w:rsidRPr="00316A4A">
                    <w:rPr>
                      <w:rFonts w:ascii="Times New Roman" w:eastAsia="Times New Roman" w:hAnsi="Times New Roman"/>
                      <w:sz w:val="16"/>
                      <w:szCs w:val="16"/>
                      <w:lang w:eastAsia="lv-LV"/>
                    </w:rPr>
                    <w:t>4+5), EUR</w:t>
                  </w:r>
                </w:p>
              </w:tc>
            </w:tr>
            <w:tr w:rsidR="00316A4A" w:rsidRPr="00316A4A" w14:paraId="223C7C17" w14:textId="77777777" w:rsidTr="00316A4A">
              <w:trPr>
                <w:trHeight w:val="290"/>
              </w:trPr>
              <w:tc>
                <w:tcPr>
                  <w:tcW w:w="745" w:type="dxa"/>
                  <w:shd w:val="clear" w:color="auto" w:fill="auto"/>
                  <w:noWrap/>
                  <w:vAlign w:val="center"/>
                  <w:hideMark/>
                </w:tcPr>
                <w:p w14:paraId="32AFF919" w14:textId="77777777" w:rsidR="006C1726" w:rsidRPr="00316A4A" w:rsidRDefault="006C1726" w:rsidP="006C1726">
                  <w:pPr>
                    <w:spacing w:after="0" w:line="240" w:lineRule="auto"/>
                    <w:jc w:val="center"/>
                    <w:rPr>
                      <w:rFonts w:ascii="Times New Roman" w:eastAsia="Times New Roman" w:hAnsi="Times New Roman"/>
                      <w:b/>
                      <w:bCs/>
                      <w:i/>
                      <w:iCs/>
                      <w:sz w:val="18"/>
                      <w:szCs w:val="18"/>
                      <w:lang w:eastAsia="lv-LV"/>
                    </w:rPr>
                  </w:pPr>
                  <w:r w:rsidRPr="00316A4A">
                    <w:rPr>
                      <w:rFonts w:ascii="Times New Roman" w:eastAsia="Times New Roman" w:hAnsi="Times New Roman"/>
                      <w:b/>
                      <w:bCs/>
                      <w:i/>
                      <w:iCs/>
                      <w:sz w:val="18"/>
                      <w:szCs w:val="18"/>
                      <w:lang w:eastAsia="lv-LV"/>
                    </w:rPr>
                    <w:t> </w:t>
                  </w:r>
                </w:p>
              </w:tc>
              <w:tc>
                <w:tcPr>
                  <w:tcW w:w="1532" w:type="dxa"/>
                  <w:shd w:val="clear" w:color="auto" w:fill="auto"/>
                  <w:vAlign w:val="center"/>
                  <w:hideMark/>
                </w:tcPr>
                <w:p w14:paraId="23F40FDF" w14:textId="77777777" w:rsidR="006C1726" w:rsidRPr="00316A4A" w:rsidRDefault="006C1726" w:rsidP="006C1726">
                  <w:pPr>
                    <w:spacing w:after="0" w:line="240" w:lineRule="auto"/>
                    <w:jc w:val="center"/>
                    <w:rPr>
                      <w:rFonts w:ascii="Times New Roman" w:eastAsia="Times New Roman" w:hAnsi="Times New Roman"/>
                      <w:iCs/>
                      <w:sz w:val="18"/>
                      <w:szCs w:val="18"/>
                      <w:lang w:eastAsia="lv-LV"/>
                    </w:rPr>
                  </w:pPr>
                  <w:r w:rsidRPr="00316A4A">
                    <w:rPr>
                      <w:rFonts w:ascii="Times New Roman" w:eastAsia="Times New Roman" w:hAnsi="Times New Roman"/>
                      <w:iCs/>
                      <w:sz w:val="18"/>
                      <w:szCs w:val="18"/>
                      <w:lang w:eastAsia="lv-LV"/>
                    </w:rPr>
                    <w:t>1</w:t>
                  </w:r>
                </w:p>
              </w:tc>
              <w:tc>
                <w:tcPr>
                  <w:tcW w:w="1097" w:type="dxa"/>
                  <w:shd w:val="clear" w:color="auto" w:fill="auto"/>
                  <w:vAlign w:val="center"/>
                  <w:hideMark/>
                </w:tcPr>
                <w:p w14:paraId="6511A50B" w14:textId="77777777" w:rsidR="006C1726" w:rsidRPr="00316A4A" w:rsidRDefault="006C1726" w:rsidP="006C1726">
                  <w:pPr>
                    <w:spacing w:after="0" w:line="240" w:lineRule="auto"/>
                    <w:jc w:val="center"/>
                    <w:rPr>
                      <w:rFonts w:ascii="Times New Roman" w:eastAsia="Times New Roman" w:hAnsi="Times New Roman"/>
                      <w:iCs/>
                      <w:sz w:val="18"/>
                      <w:szCs w:val="18"/>
                      <w:lang w:eastAsia="lv-LV"/>
                    </w:rPr>
                  </w:pPr>
                  <w:r w:rsidRPr="00316A4A">
                    <w:rPr>
                      <w:rFonts w:ascii="Times New Roman" w:eastAsia="Times New Roman" w:hAnsi="Times New Roman"/>
                      <w:iCs/>
                      <w:sz w:val="18"/>
                      <w:szCs w:val="18"/>
                      <w:lang w:eastAsia="lv-LV"/>
                    </w:rPr>
                    <w:t>2</w:t>
                  </w:r>
                </w:p>
              </w:tc>
              <w:tc>
                <w:tcPr>
                  <w:tcW w:w="1007" w:type="dxa"/>
                  <w:shd w:val="clear" w:color="auto" w:fill="auto"/>
                  <w:vAlign w:val="center"/>
                  <w:hideMark/>
                </w:tcPr>
                <w:p w14:paraId="70F57853" w14:textId="77777777" w:rsidR="006C1726" w:rsidRPr="00316A4A" w:rsidRDefault="006C1726" w:rsidP="006C1726">
                  <w:pPr>
                    <w:spacing w:after="0" w:line="240" w:lineRule="auto"/>
                    <w:jc w:val="center"/>
                    <w:rPr>
                      <w:rFonts w:ascii="Times New Roman" w:eastAsia="Times New Roman" w:hAnsi="Times New Roman"/>
                      <w:iCs/>
                      <w:sz w:val="18"/>
                      <w:szCs w:val="18"/>
                      <w:lang w:eastAsia="lv-LV"/>
                    </w:rPr>
                  </w:pPr>
                  <w:r w:rsidRPr="00316A4A">
                    <w:rPr>
                      <w:rFonts w:ascii="Times New Roman" w:eastAsia="Times New Roman" w:hAnsi="Times New Roman"/>
                      <w:iCs/>
                      <w:sz w:val="18"/>
                      <w:szCs w:val="18"/>
                      <w:lang w:eastAsia="lv-LV"/>
                    </w:rPr>
                    <w:t>3</w:t>
                  </w:r>
                </w:p>
              </w:tc>
              <w:tc>
                <w:tcPr>
                  <w:tcW w:w="1007" w:type="dxa"/>
                  <w:shd w:val="clear" w:color="auto" w:fill="auto"/>
                  <w:vAlign w:val="center"/>
                  <w:hideMark/>
                </w:tcPr>
                <w:p w14:paraId="1416067C" w14:textId="77777777" w:rsidR="006C1726" w:rsidRPr="00316A4A" w:rsidRDefault="006C1726" w:rsidP="006C1726">
                  <w:pPr>
                    <w:spacing w:after="0" w:line="240" w:lineRule="auto"/>
                    <w:jc w:val="center"/>
                    <w:rPr>
                      <w:rFonts w:ascii="Times New Roman" w:eastAsia="Times New Roman" w:hAnsi="Times New Roman"/>
                      <w:iCs/>
                      <w:sz w:val="18"/>
                      <w:szCs w:val="18"/>
                      <w:lang w:eastAsia="lv-LV"/>
                    </w:rPr>
                  </w:pPr>
                  <w:r w:rsidRPr="00316A4A">
                    <w:rPr>
                      <w:rFonts w:ascii="Times New Roman" w:eastAsia="Times New Roman" w:hAnsi="Times New Roman"/>
                      <w:iCs/>
                      <w:sz w:val="18"/>
                      <w:szCs w:val="18"/>
                      <w:lang w:eastAsia="lv-LV"/>
                    </w:rPr>
                    <w:t>4</w:t>
                  </w:r>
                </w:p>
              </w:tc>
              <w:tc>
                <w:tcPr>
                  <w:tcW w:w="940" w:type="dxa"/>
                  <w:shd w:val="clear" w:color="auto" w:fill="auto"/>
                  <w:vAlign w:val="center"/>
                  <w:hideMark/>
                </w:tcPr>
                <w:p w14:paraId="2C03801D" w14:textId="77777777" w:rsidR="006C1726" w:rsidRPr="00316A4A" w:rsidRDefault="006C1726" w:rsidP="006C1726">
                  <w:pPr>
                    <w:spacing w:after="0" w:line="240" w:lineRule="auto"/>
                    <w:jc w:val="center"/>
                    <w:rPr>
                      <w:rFonts w:ascii="Times New Roman" w:eastAsia="Times New Roman" w:hAnsi="Times New Roman"/>
                      <w:iCs/>
                      <w:sz w:val="18"/>
                      <w:szCs w:val="18"/>
                      <w:lang w:eastAsia="lv-LV"/>
                    </w:rPr>
                  </w:pPr>
                  <w:r w:rsidRPr="00316A4A">
                    <w:rPr>
                      <w:rFonts w:ascii="Times New Roman" w:eastAsia="Times New Roman" w:hAnsi="Times New Roman"/>
                      <w:iCs/>
                      <w:sz w:val="18"/>
                      <w:szCs w:val="18"/>
                      <w:lang w:eastAsia="lv-LV"/>
                    </w:rPr>
                    <w:t>5</w:t>
                  </w:r>
                </w:p>
              </w:tc>
              <w:tc>
                <w:tcPr>
                  <w:tcW w:w="1007" w:type="dxa"/>
                  <w:shd w:val="clear" w:color="auto" w:fill="auto"/>
                  <w:vAlign w:val="center"/>
                  <w:hideMark/>
                </w:tcPr>
                <w:p w14:paraId="1D56B3CD" w14:textId="77777777" w:rsidR="006C1726" w:rsidRPr="00316A4A" w:rsidRDefault="006C1726" w:rsidP="006C1726">
                  <w:pPr>
                    <w:spacing w:after="0" w:line="240" w:lineRule="auto"/>
                    <w:jc w:val="center"/>
                    <w:rPr>
                      <w:rFonts w:ascii="Times New Roman" w:eastAsia="Times New Roman" w:hAnsi="Times New Roman"/>
                      <w:iCs/>
                      <w:sz w:val="18"/>
                      <w:szCs w:val="18"/>
                      <w:lang w:eastAsia="lv-LV"/>
                    </w:rPr>
                  </w:pPr>
                  <w:r w:rsidRPr="00316A4A">
                    <w:rPr>
                      <w:rFonts w:ascii="Times New Roman" w:eastAsia="Times New Roman" w:hAnsi="Times New Roman"/>
                      <w:iCs/>
                      <w:sz w:val="18"/>
                      <w:szCs w:val="18"/>
                      <w:lang w:eastAsia="lv-LV"/>
                    </w:rPr>
                    <w:t>6</w:t>
                  </w:r>
                </w:p>
              </w:tc>
            </w:tr>
            <w:tr w:rsidR="00316A4A" w:rsidRPr="00316A4A" w14:paraId="7A18EAC8" w14:textId="77777777" w:rsidTr="00316A4A">
              <w:trPr>
                <w:trHeight w:val="290"/>
              </w:trPr>
              <w:tc>
                <w:tcPr>
                  <w:tcW w:w="745" w:type="dxa"/>
                  <w:shd w:val="clear" w:color="auto" w:fill="auto"/>
                  <w:noWrap/>
                  <w:vAlign w:val="bottom"/>
                  <w:hideMark/>
                </w:tcPr>
                <w:p w14:paraId="0571562D"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1</w:t>
                  </w:r>
                </w:p>
              </w:tc>
              <w:tc>
                <w:tcPr>
                  <w:tcW w:w="1532" w:type="dxa"/>
                  <w:shd w:val="clear" w:color="auto" w:fill="auto"/>
                  <w:noWrap/>
                  <w:vAlign w:val="bottom"/>
                  <w:hideMark/>
                </w:tcPr>
                <w:p w14:paraId="6803AB53" w14:textId="77777777" w:rsidR="006C1726" w:rsidRPr="00316A4A" w:rsidRDefault="006C1726" w:rsidP="006C1726">
                  <w:pPr>
                    <w:spacing w:after="0" w:line="240" w:lineRule="auto"/>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 xml:space="preserve">SIA "Nord </w:t>
                  </w:r>
                  <w:proofErr w:type="spellStart"/>
                  <w:r w:rsidRPr="00316A4A">
                    <w:rPr>
                      <w:rFonts w:ascii="Times New Roman" w:eastAsia="Times New Roman" w:hAnsi="Times New Roman"/>
                      <w:sz w:val="18"/>
                      <w:szCs w:val="18"/>
                      <w:lang w:eastAsia="lv-LV"/>
                    </w:rPr>
                    <w:t>Connect</w:t>
                  </w:r>
                  <w:proofErr w:type="spellEnd"/>
                  <w:r w:rsidRPr="00316A4A">
                    <w:rPr>
                      <w:rFonts w:ascii="Times New Roman" w:eastAsia="Times New Roman" w:hAnsi="Times New Roman"/>
                      <w:sz w:val="18"/>
                      <w:szCs w:val="18"/>
                      <w:lang w:eastAsia="lv-LV"/>
                    </w:rPr>
                    <w:t>"</w:t>
                  </w:r>
                </w:p>
              </w:tc>
              <w:tc>
                <w:tcPr>
                  <w:tcW w:w="1097" w:type="dxa"/>
                  <w:shd w:val="clear" w:color="auto" w:fill="auto"/>
                  <w:noWrap/>
                  <w:vAlign w:val="bottom"/>
                  <w:hideMark/>
                </w:tcPr>
                <w:p w14:paraId="6FD08B15"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122 400</w:t>
                  </w:r>
                </w:p>
              </w:tc>
              <w:tc>
                <w:tcPr>
                  <w:tcW w:w="1007" w:type="dxa"/>
                  <w:shd w:val="clear" w:color="auto" w:fill="auto"/>
                  <w:noWrap/>
                  <w:vAlign w:val="bottom"/>
                  <w:hideMark/>
                </w:tcPr>
                <w:p w14:paraId="2E748F1A"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12</w:t>
                  </w:r>
                </w:p>
              </w:tc>
              <w:tc>
                <w:tcPr>
                  <w:tcW w:w="1007" w:type="dxa"/>
                  <w:shd w:val="clear" w:color="auto" w:fill="auto"/>
                  <w:noWrap/>
                  <w:vAlign w:val="bottom"/>
                  <w:hideMark/>
                </w:tcPr>
                <w:p w14:paraId="48A2B6A1"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122 412</w:t>
                  </w:r>
                </w:p>
              </w:tc>
              <w:tc>
                <w:tcPr>
                  <w:tcW w:w="940" w:type="dxa"/>
                  <w:shd w:val="clear" w:color="auto" w:fill="auto"/>
                  <w:noWrap/>
                  <w:vAlign w:val="bottom"/>
                  <w:hideMark/>
                </w:tcPr>
                <w:p w14:paraId="254524B1"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400</w:t>
                  </w:r>
                </w:p>
              </w:tc>
              <w:tc>
                <w:tcPr>
                  <w:tcW w:w="1007" w:type="dxa"/>
                  <w:shd w:val="clear" w:color="auto" w:fill="auto"/>
                  <w:noWrap/>
                  <w:vAlign w:val="bottom"/>
                  <w:hideMark/>
                </w:tcPr>
                <w:p w14:paraId="689D6AD9"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122 812</w:t>
                  </w:r>
                </w:p>
              </w:tc>
            </w:tr>
            <w:tr w:rsidR="00316A4A" w:rsidRPr="00316A4A" w14:paraId="791F1F74" w14:textId="77777777" w:rsidTr="00316A4A">
              <w:trPr>
                <w:trHeight w:val="290"/>
              </w:trPr>
              <w:tc>
                <w:tcPr>
                  <w:tcW w:w="745" w:type="dxa"/>
                  <w:shd w:val="clear" w:color="auto" w:fill="auto"/>
                  <w:noWrap/>
                  <w:vAlign w:val="bottom"/>
                  <w:hideMark/>
                </w:tcPr>
                <w:p w14:paraId="28F406B3"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2</w:t>
                  </w:r>
                </w:p>
              </w:tc>
              <w:tc>
                <w:tcPr>
                  <w:tcW w:w="1532" w:type="dxa"/>
                  <w:shd w:val="clear" w:color="auto" w:fill="auto"/>
                  <w:noWrap/>
                  <w:vAlign w:val="bottom"/>
                  <w:hideMark/>
                </w:tcPr>
                <w:p w14:paraId="34B1C73C" w14:textId="77777777" w:rsidR="006C1726" w:rsidRPr="00316A4A" w:rsidRDefault="006C1726" w:rsidP="006C1726">
                  <w:pPr>
                    <w:spacing w:after="0" w:line="240" w:lineRule="auto"/>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SIA "Tele2"</w:t>
                  </w:r>
                </w:p>
              </w:tc>
              <w:tc>
                <w:tcPr>
                  <w:tcW w:w="1097" w:type="dxa"/>
                  <w:shd w:val="clear" w:color="auto" w:fill="auto"/>
                  <w:noWrap/>
                  <w:vAlign w:val="bottom"/>
                  <w:hideMark/>
                </w:tcPr>
                <w:p w14:paraId="23352A35"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768</w:t>
                  </w:r>
                </w:p>
              </w:tc>
              <w:tc>
                <w:tcPr>
                  <w:tcW w:w="1007" w:type="dxa"/>
                  <w:shd w:val="clear" w:color="auto" w:fill="auto"/>
                  <w:noWrap/>
                  <w:vAlign w:val="bottom"/>
                  <w:hideMark/>
                </w:tcPr>
                <w:p w14:paraId="49A0EBD3"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12 240</w:t>
                  </w:r>
                </w:p>
              </w:tc>
              <w:tc>
                <w:tcPr>
                  <w:tcW w:w="1007" w:type="dxa"/>
                  <w:shd w:val="clear" w:color="auto" w:fill="auto"/>
                  <w:noWrap/>
                  <w:vAlign w:val="bottom"/>
                  <w:hideMark/>
                </w:tcPr>
                <w:p w14:paraId="3D83DCD0"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13 008</w:t>
                  </w:r>
                </w:p>
              </w:tc>
              <w:tc>
                <w:tcPr>
                  <w:tcW w:w="940" w:type="dxa"/>
                  <w:shd w:val="clear" w:color="auto" w:fill="auto"/>
                  <w:noWrap/>
                  <w:vAlign w:val="bottom"/>
                  <w:hideMark/>
                </w:tcPr>
                <w:p w14:paraId="06BAE544"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103 220</w:t>
                  </w:r>
                </w:p>
              </w:tc>
              <w:tc>
                <w:tcPr>
                  <w:tcW w:w="1007" w:type="dxa"/>
                  <w:shd w:val="clear" w:color="auto" w:fill="auto"/>
                  <w:noWrap/>
                  <w:vAlign w:val="bottom"/>
                  <w:hideMark/>
                </w:tcPr>
                <w:p w14:paraId="4AFA230A"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116 228</w:t>
                  </w:r>
                </w:p>
              </w:tc>
            </w:tr>
            <w:tr w:rsidR="00316A4A" w:rsidRPr="00316A4A" w14:paraId="3048408C" w14:textId="77777777" w:rsidTr="00316A4A">
              <w:trPr>
                <w:trHeight w:val="290"/>
              </w:trPr>
              <w:tc>
                <w:tcPr>
                  <w:tcW w:w="745" w:type="dxa"/>
                  <w:shd w:val="clear" w:color="auto" w:fill="auto"/>
                  <w:noWrap/>
                  <w:vAlign w:val="bottom"/>
                  <w:hideMark/>
                </w:tcPr>
                <w:p w14:paraId="3A06A9C4"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3</w:t>
                  </w:r>
                </w:p>
              </w:tc>
              <w:tc>
                <w:tcPr>
                  <w:tcW w:w="1532" w:type="dxa"/>
                  <w:shd w:val="clear" w:color="auto" w:fill="auto"/>
                  <w:noWrap/>
                  <w:vAlign w:val="bottom"/>
                  <w:hideMark/>
                </w:tcPr>
                <w:p w14:paraId="2CAB8B29" w14:textId="77777777" w:rsidR="006C1726" w:rsidRPr="00316A4A" w:rsidRDefault="006C1726" w:rsidP="006C1726">
                  <w:pPr>
                    <w:spacing w:after="0" w:line="240" w:lineRule="auto"/>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SIA "Latvijas Mobilais Telefons"</w:t>
                  </w:r>
                </w:p>
              </w:tc>
              <w:tc>
                <w:tcPr>
                  <w:tcW w:w="1097" w:type="dxa"/>
                  <w:shd w:val="clear" w:color="auto" w:fill="auto"/>
                  <w:noWrap/>
                  <w:vAlign w:val="bottom"/>
                  <w:hideMark/>
                </w:tcPr>
                <w:p w14:paraId="4C067E42"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526</w:t>
                  </w:r>
                </w:p>
              </w:tc>
              <w:tc>
                <w:tcPr>
                  <w:tcW w:w="1007" w:type="dxa"/>
                  <w:shd w:val="clear" w:color="auto" w:fill="auto"/>
                  <w:noWrap/>
                  <w:vAlign w:val="bottom"/>
                  <w:hideMark/>
                </w:tcPr>
                <w:p w14:paraId="30268611"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12 528</w:t>
                  </w:r>
                </w:p>
              </w:tc>
              <w:tc>
                <w:tcPr>
                  <w:tcW w:w="1007" w:type="dxa"/>
                  <w:shd w:val="clear" w:color="auto" w:fill="auto"/>
                  <w:noWrap/>
                  <w:vAlign w:val="bottom"/>
                  <w:hideMark/>
                </w:tcPr>
                <w:p w14:paraId="50F1F6B8"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13 054</w:t>
                  </w:r>
                </w:p>
              </w:tc>
              <w:tc>
                <w:tcPr>
                  <w:tcW w:w="940" w:type="dxa"/>
                  <w:shd w:val="clear" w:color="auto" w:fill="auto"/>
                  <w:noWrap/>
                  <w:vAlign w:val="bottom"/>
                  <w:hideMark/>
                </w:tcPr>
                <w:p w14:paraId="6D92C1B0"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102 960</w:t>
                  </w:r>
                </w:p>
              </w:tc>
              <w:tc>
                <w:tcPr>
                  <w:tcW w:w="1007" w:type="dxa"/>
                  <w:shd w:val="clear" w:color="auto" w:fill="auto"/>
                  <w:noWrap/>
                  <w:vAlign w:val="bottom"/>
                  <w:hideMark/>
                </w:tcPr>
                <w:p w14:paraId="321D7CC4"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116 014</w:t>
                  </w:r>
                </w:p>
              </w:tc>
            </w:tr>
            <w:tr w:rsidR="00316A4A" w:rsidRPr="00316A4A" w14:paraId="65CC9C78" w14:textId="77777777" w:rsidTr="00316A4A">
              <w:trPr>
                <w:trHeight w:val="290"/>
              </w:trPr>
              <w:tc>
                <w:tcPr>
                  <w:tcW w:w="745" w:type="dxa"/>
                  <w:shd w:val="clear" w:color="auto" w:fill="auto"/>
                  <w:noWrap/>
                  <w:vAlign w:val="bottom"/>
                  <w:hideMark/>
                </w:tcPr>
                <w:p w14:paraId="5EE1106D"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4</w:t>
                  </w:r>
                </w:p>
              </w:tc>
              <w:tc>
                <w:tcPr>
                  <w:tcW w:w="1532" w:type="dxa"/>
                  <w:shd w:val="clear" w:color="auto" w:fill="auto"/>
                  <w:noWrap/>
                  <w:vAlign w:val="bottom"/>
                  <w:hideMark/>
                </w:tcPr>
                <w:p w14:paraId="7B401011" w14:textId="77777777" w:rsidR="006C1726" w:rsidRPr="00316A4A" w:rsidRDefault="006C1726" w:rsidP="006C1726">
                  <w:pPr>
                    <w:spacing w:after="0" w:line="240" w:lineRule="auto"/>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SIA "</w:t>
                  </w:r>
                  <w:proofErr w:type="spellStart"/>
                  <w:r w:rsidRPr="00316A4A">
                    <w:rPr>
                      <w:rFonts w:ascii="Times New Roman" w:eastAsia="Times New Roman" w:hAnsi="Times New Roman"/>
                      <w:sz w:val="18"/>
                      <w:szCs w:val="18"/>
                      <w:lang w:eastAsia="lv-LV"/>
                    </w:rPr>
                    <w:t>Tet</w:t>
                  </w:r>
                  <w:proofErr w:type="spellEnd"/>
                  <w:r w:rsidRPr="00316A4A">
                    <w:rPr>
                      <w:rFonts w:ascii="Times New Roman" w:eastAsia="Times New Roman" w:hAnsi="Times New Roman"/>
                      <w:sz w:val="18"/>
                      <w:szCs w:val="18"/>
                      <w:lang w:eastAsia="lv-LV"/>
                    </w:rPr>
                    <w:t>"</w:t>
                  </w:r>
                </w:p>
              </w:tc>
              <w:tc>
                <w:tcPr>
                  <w:tcW w:w="1097" w:type="dxa"/>
                  <w:shd w:val="clear" w:color="auto" w:fill="auto"/>
                  <w:noWrap/>
                  <w:vAlign w:val="bottom"/>
                  <w:hideMark/>
                </w:tcPr>
                <w:p w14:paraId="63B560A6"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40 032</w:t>
                  </w:r>
                </w:p>
              </w:tc>
              <w:tc>
                <w:tcPr>
                  <w:tcW w:w="1007" w:type="dxa"/>
                  <w:shd w:val="clear" w:color="auto" w:fill="auto"/>
                  <w:noWrap/>
                  <w:vAlign w:val="bottom"/>
                  <w:hideMark/>
                </w:tcPr>
                <w:p w14:paraId="40499F8A"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612</w:t>
                  </w:r>
                </w:p>
              </w:tc>
              <w:tc>
                <w:tcPr>
                  <w:tcW w:w="1007" w:type="dxa"/>
                  <w:shd w:val="clear" w:color="auto" w:fill="auto"/>
                  <w:noWrap/>
                  <w:vAlign w:val="bottom"/>
                  <w:hideMark/>
                </w:tcPr>
                <w:p w14:paraId="637A45CD"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40 644</w:t>
                  </w:r>
                </w:p>
              </w:tc>
              <w:tc>
                <w:tcPr>
                  <w:tcW w:w="940" w:type="dxa"/>
                  <w:shd w:val="clear" w:color="auto" w:fill="auto"/>
                  <w:noWrap/>
                  <w:vAlign w:val="bottom"/>
                  <w:hideMark/>
                </w:tcPr>
                <w:p w14:paraId="64D4AD0D"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72 772</w:t>
                  </w:r>
                </w:p>
              </w:tc>
              <w:tc>
                <w:tcPr>
                  <w:tcW w:w="1007" w:type="dxa"/>
                  <w:shd w:val="clear" w:color="auto" w:fill="auto"/>
                  <w:noWrap/>
                  <w:vAlign w:val="bottom"/>
                  <w:hideMark/>
                </w:tcPr>
                <w:p w14:paraId="4DFFB4EC"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113 416</w:t>
                  </w:r>
                </w:p>
              </w:tc>
            </w:tr>
            <w:tr w:rsidR="00316A4A" w:rsidRPr="00316A4A" w14:paraId="70C5D3EC" w14:textId="77777777" w:rsidTr="00316A4A">
              <w:trPr>
                <w:trHeight w:val="290"/>
              </w:trPr>
              <w:tc>
                <w:tcPr>
                  <w:tcW w:w="745" w:type="dxa"/>
                  <w:shd w:val="clear" w:color="auto" w:fill="auto"/>
                  <w:noWrap/>
                  <w:vAlign w:val="bottom"/>
                  <w:hideMark/>
                </w:tcPr>
                <w:p w14:paraId="759BA685"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5</w:t>
                  </w:r>
                </w:p>
              </w:tc>
              <w:tc>
                <w:tcPr>
                  <w:tcW w:w="1532" w:type="dxa"/>
                  <w:shd w:val="clear" w:color="auto" w:fill="auto"/>
                  <w:noWrap/>
                  <w:vAlign w:val="bottom"/>
                  <w:hideMark/>
                </w:tcPr>
                <w:p w14:paraId="6F5030FA" w14:textId="77777777" w:rsidR="006C1726" w:rsidRPr="00316A4A" w:rsidRDefault="006C1726" w:rsidP="006C1726">
                  <w:pPr>
                    <w:spacing w:after="0" w:line="240" w:lineRule="auto"/>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SIA "BITE Latvija"</w:t>
                  </w:r>
                </w:p>
              </w:tc>
              <w:tc>
                <w:tcPr>
                  <w:tcW w:w="1097" w:type="dxa"/>
                  <w:shd w:val="clear" w:color="auto" w:fill="auto"/>
                  <w:noWrap/>
                  <w:vAlign w:val="bottom"/>
                  <w:hideMark/>
                </w:tcPr>
                <w:p w14:paraId="7273DFFA"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24</w:t>
                  </w:r>
                </w:p>
              </w:tc>
              <w:tc>
                <w:tcPr>
                  <w:tcW w:w="1007" w:type="dxa"/>
                  <w:shd w:val="clear" w:color="auto" w:fill="auto"/>
                  <w:noWrap/>
                  <w:vAlign w:val="bottom"/>
                  <w:hideMark/>
                </w:tcPr>
                <w:p w14:paraId="62646F15"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336</w:t>
                  </w:r>
                </w:p>
              </w:tc>
              <w:tc>
                <w:tcPr>
                  <w:tcW w:w="1007" w:type="dxa"/>
                  <w:shd w:val="clear" w:color="auto" w:fill="auto"/>
                  <w:noWrap/>
                  <w:vAlign w:val="bottom"/>
                  <w:hideMark/>
                </w:tcPr>
                <w:p w14:paraId="42065CCF"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360</w:t>
                  </w:r>
                </w:p>
              </w:tc>
              <w:tc>
                <w:tcPr>
                  <w:tcW w:w="940" w:type="dxa"/>
                  <w:shd w:val="clear" w:color="auto" w:fill="auto"/>
                  <w:noWrap/>
                  <w:vAlign w:val="bottom"/>
                  <w:hideMark/>
                </w:tcPr>
                <w:p w14:paraId="0923456C"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68 588</w:t>
                  </w:r>
                </w:p>
              </w:tc>
              <w:tc>
                <w:tcPr>
                  <w:tcW w:w="1007" w:type="dxa"/>
                  <w:shd w:val="clear" w:color="auto" w:fill="auto"/>
                  <w:noWrap/>
                  <w:vAlign w:val="bottom"/>
                  <w:hideMark/>
                </w:tcPr>
                <w:p w14:paraId="292AFA01"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68 948</w:t>
                  </w:r>
                </w:p>
              </w:tc>
            </w:tr>
            <w:tr w:rsidR="00316A4A" w:rsidRPr="00316A4A" w14:paraId="17B77F8B" w14:textId="77777777" w:rsidTr="00316A4A">
              <w:trPr>
                <w:trHeight w:val="290"/>
              </w:trPr>
              <w:tc>
                <w:tcPr>
                  <w:tcW w:w="745" w:type="dxa"/>
                  <w:shd w:val="clear" w:color="auto" w:fill="auto"/>
                  <w:noWrap/>
                  <w:vAlign w:val="bottom"/>
                  <w:hideMark/>
                </w:tcPr>
                <w:p w14:paraId="70600396"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6</w:t>
                  </w:r>
                </w:p>
              </w:tc>
              <w:tc>
                <w:tcPr>
                  <w:tcW w:w="1532" w:type="dxa"/>
                  <w:shd w:val="clear" w:color="auto" w:fill="auto"/>
                  <w:noWrap/>
                  <w:vAlign w:val="bottom"/>
                  <w:hideMark/>
                </w:tcPr>
                <w:p w14:paraId="2E767F43" w14:textId="77777777" w:rsidR="006C1726" w:rsidRPr="00316A4A" w:rsidRDefault="006C1726" w:rsidP="006C1726">
                  <w:pPr>
                    <w:spacing w:after="0" w:line="240" w:lineRule="auto"/>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ĀKF "</w:t>
                  </w:r>
                  <w:proofErr w:type="spellStart"/>
                  <w:r w:rsidRPr="00316A4A">
                    <w:rPr>
                      <w:rFonts w:ascii="Times New Roman" w:eastAsia="Times New Roman" w:hAnsi="Times New Roman"/>
                      <w:sz w:val="18"/>
                      <w:szCs w:val="18"/>
                      <w:lang w:eastAsia="lv-LV"/>
                    </w:rPr>
                    <w:t>Voxbone</w:t>
                  </w:r>
                  <w:proofErr w:type="spellEnd"/>
                  <w:r w:rsidRPr="00316A4A">
                    <w:rPr>
                      <w:rFonts w:ascii="Times New Roman" w:eastAsia="Times New Roman" w:hAnsi="Times New Roman"/>
                      <w:sz w:val="18"/>
                      <w:szCs w:val="18"/>
                      <w:lang w:eastAsia="lv-LV"/>
                    </w:rPr>
                    <w:t xml:space="preserve"> SA Latvijas filiāle"</w:t>
                  </w:r>
                </w:p>
              </w:tc>
              <w:tc>
                <w:tcPr>
                  <w:tcW w:w="1097" w:type="dxa"/>
                  <w:shd w:val="clear" w:color="auto" w:fill="auto"/>
                  <w:noWrap/>
                  <w:vAlign w:val="bottom"/>
                  <w:hideMark/>
                </w:tcPr>
                <w:p w14:paraId="12FD0B3A"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0</w:t>
                  </w:r>
                </w:p>
              </w:tc>
              <w:tc>
                <w:tcPr>
                  <w:tcW w:w="1007" w:type="dxa"/>
                  <w:shd w:val="clear" w:color="auto" w:fill="auto"/>
                  <w:noWrap/>
                  <w:vAlign w:val="bottom"/>
                  <w:hideMark/>
                </w:tcPr>
                <w:p w14:paraId="10A47A67"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264</w:t>
                  </w:r>
                </w:p>
              </w:tc>
              <w:tc>
                <w:tcPr>
                  <w:tcW w:w="1007" w:type="dxa"/>
                  <w:shd w:val="clear" w:color="auto" w:fill="auto"/>
                  <w:noWrap/>
                  <w:vAlign w:val="bottom"/>
                  <w:hideMark/>
                </w:tcPr>
                <w:p w14:paraId="10F87C17"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264</w:t>
                  </w:r>
                </w:p>
              </w:tc>
              <w:tc>
                <w:tcPr>
                  <w:tcW w:w="940" w:type="dxa"/>
                  <w:shd w:val="clear" w:color="auto" w:fill="auto"/>
                  <w:noWrap/>
                  <w:vAlign w:val="bottom"/>
                  <w:hideMark/>
                </w:tcPr>
                <w:p w14:paraId="27BD3A73"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44 000</w:t>
                  </w:r>
                </w:p>
              </w:tc>
              <w:tc>
                <w:tcPr>
                  <w:tcW w:w="1007" w:type="dxa"/>
                  <w:shd w:val="clear" w:color="auto" w:fill="auto"/>
                  <w:noWrap/>
                  <w:vAlign w:val="bottom"/>
                  <w:hideMark/>
                </w:tcPr>
                <w:p w14:paraId="21781B2E"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44 264</w:t>
                  </w:r>
                </w:p>
              </w:tc>
            </w:tr>
            <w:tr w:rsidR="00316A4A" w:rsidRPr="00316A4A" w14:paraId="45DF6BB8" w14:textId="77777777" w:rsidTr="00316A4A">
              <w:trPr>
                <w:trHeight w:val="290"/>
              </w:trPr>
              <w:tc>
                <w:tcPr>
                  <w:tcW w:w="745" w:type="dxa"/>
                  <w:shd w:val="clear" w:color="auto" w:fill="auto"/>
                  <w:noWrap/>
                  <w:vAlign w:val="bottom"/>
                  <w:hideMark/>
                </w:tcPr>
                <w:p w14:paraId="75A4A413"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7</w:t>
                  </w:r>
                </w:p>
              </w:tc>
              <w:tc>
                <w:tcPr>
                  <w:tcW w:w="1532" w:type="dxa"/>
                  <w:shd w:val="clear" w:color="auto" w:fill="auto"/>
                  <w:noWrap/>
                  <w:vAlign w:val="bottom"/>
                  <w:hideMark/>
                </w:tcPr>
                <w:p w14:paraId="48377007" w14:textId="77777777" w:rsidR="006C1726" w:rsidRPr="00316A4A" w:rsidRDefault="006C1726" w:rsidP="006C1726">
                  <w:pPr>
                    <w:spacing w:after="0" w:line="240" w:lineRule="auto"/>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SIA "NGU"</w:t>
                  </w:r>
                </w:p>
              </w:tc>
              <w:tc>
                <w:tcPr>
                  <w:tcW w:w="1097" w:type="dxa"/>
                  <w:shd w:val="clear" w:color="auto" w:fill="auto"/>
                  <w:noWrap/>
                  <w:vAlign w:val="bottom"/>
                  <w:hideMark/>
                </w:tcPr>
                <w:p w14:paraId="11D19197"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24 000</w:t>
                  </w:r>
                </w:p>
              </w:tc>
              <w:tc>
                <w:tcPr>
                  <w:tcW w:w="1007" w:type="dxa"/>
                  <w:shd w:val="clear" w:color="auto" w:fill="auto"/>
                  <w:noWrap/>
                  <w:vAlign w:val="bottom"/>
                  <w:hideMark/>
                </w:tcPr>
                <w:p w14:paraId="2FCB078D"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0</w:t>
                  </w:r>
                </w:p>
              </w:tc>
              <w:tc>
                <w:tcPr>
                  <w:tcW w:w="1007" w:type="dxa"/>
                  <w:shd w:val="clear" w:color="auto" w:fill="auto"/>
                  <w:noWrap/>
                  <w:vAlign w:val="bottom"/>
                  <w:hideMark/>
                </w:tcPr>
                <w:p w14:paraId="1AED80D2"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24 000</w:t>
                  </w:r>
                </w:p>
              </w:tc>
              <w:tc>
                <w:tcPr>
                  <w:tcW w:w="940" w:type="dxa"/>
                  <w:shd w:val="clear" w:color="auto" w:fill="auto"/>
                  <w:noWrap/>
                  <w:vAlign w:val="bottom"/>
                  <w:hideMark/>
                </w:tcPr>
                <w:p w14:paraId="2473AE8A"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80</w:t>
                  </w:r>
                </w:p>
              </w:tc>
              <w:tc>
                <w:tcPr>
                  <w:tcW w:w="1007" w:type="dxa"/>
                  <w:shd w:val="clear" w:color="auto" w:fill="auto"/>
                  <w:noWrap/>
                  <w:vAlign w:val="bottom"/>
                  <w:hideMark/>
                </w:tcPr>
                <w:p w14:paraId="04FBAB18"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24 080</w:t>
                  </w:r>
                </w:p>
              </w:tc>
            </w:tr>
            <w:tr w:rsidR="00316A4A" w:rsidRPr="00316A4A" w14:paraId="4D321158" w14:textId="77777777" w:rsidTr="00316A4A">
              <w:trPr>
                <w:trHeight w:val="290"/>
              </w:trPr>
              <w:tc>
                <w:tcPr>
                  <w:tcW w:w="745" w:type="dxa"/>
                  <w:shd w:val="clear" w:color="auto" w:fill="auto"/>
                  <w:noWrap/>
                  <w:vAlign w:val="bottom"/>
                  <w:hideMark/>
                </w:tcPr>
                <w:p w14:paraId="27344DEF"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8</w:t>
                  </w:r>
                </w:p>
              </w:tc>
              <w:tc>
                <w:tcPr>
                  <w:tcW w:w="1532" w:type="dxa"/>
                  <w:shd w:val="clear" w:color="auto" w:fill="auto"/>
                  <w:noWrap/>
                  <w:vAlign w:val="bottom"/>
                  <w:hideMark/>
                </w:tcPr>
                <w:p w14:paraId="1C9E865E" w14:textId="77777777" w:rsidR="006C1726" w:rsidRPr="00316A4A" w:rsidRDefault="006C1726" w:rsidP="006C1726">
                  <w:pPr>
                    <w:spacing w:after="0" w:line="240" w:lineRule="auto"/>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 xml:space="preserve">SIA "Radio Telecommunications </w:t>
                  </w:r>
                  <w:proofErr w:type="spellStart"/>
                  <w:r w:rsidRPr="00316A4A">
                    <w:rPr>
                      <w:rFonts w:ascii="Times New Roman" w:eastAsia="Times New Roman" w:hAnsi="Times New Roman"/>
                      <w:sz w:val="18"/>
                      <w:szCs w:val="18"/>
                      <w:lang w:eastAsia="lv-LV"/>
                    </w:rPr>
                    <w:t>Network</w:t>
                  </w:r>
                  <w:proofErr w:type="spellEnd"/>
                  <w:r w:rsidRPr="00316A4A">
                    <w:rPr>
                      <w:rFonts w:ascii="Times New Roman" w:eastAsia="Times New Roman" w:hAnsi="Times New Roman"/>
                      <w:sz w:val="18"/>
                      <w:szCs w:val="18"/>
                      <w:lang w:eastAsia="lv-LV"/>
                    </w:rPr>
                    <w:t>"</w:t>
                  </w:r>
                </w:p>
              </w:tc>
              <w:tc>
                <w:tcPr>
                  <w:tcW w:w="1097" w:type="dxa"/>
                  <w:shd w:val="clear" w:color="auto" w:fill="auto"/>
                  <w:noWrap/>
                  <w:vAlign w:val="bottom"/>
                  <w:hideMark/>
                </w:tcPr>
                <w:p w14:paraId="08959500"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6 000</w:t>
                  </w:r>
                </w:p>
              </w:tc>
              <w:tc>
                <w:tcPr>
                  <w:tcW w:w="1007" w:type="dxa"/>
                  <w:shd w:val="clear" w:color="auto" w:fill="auto"/>
                  <w:noWrap/>
                  <w:vAlign w:val="bottom"/>
                  <w:hideMark/>
                </w:tcPr>
                <w:p w14:paraId="6D81D419"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0</w:t>
                  </w:r>
                </w:p>
              </w:tc>
              <w:tc>
                <w:tcPr>
                  <w:tcW w:w="1007" w:type="dxa"/>
                  <w:shd w:val="clear" w:color="auto" w:fill="auto"/>
                  <w:noWrap/>
                  <w:vAlign w:val="bottom"/>
                  <w:hideMark/>
                </w:tcPr>
                <w:p w14:paraId="28B2BEA4"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6 000</w:t>
                  </w:r>
                </w:p>
              </w:tc>
              <w:tc>
                <w:tcPr>
                  <w:tcW w:w="940" w:type="dxa"/>
                  <w:shd w:val="clear" w:color="auto" w:fill="auto"/>
                  <w:noWrap/>
                  <w:vAlign w:val="bottom"/>
                  <w:hideMark/>
                </w:tcPr>
                <w:p w14:paraId="6C486148"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1 600</w:t>
                  </w:r>
                </w:p>
              </w:tc>
              <w:tc>
                <w:tcPr>
                  <w:tcW w:w="1007" w:type="dxa"/>
                  <w:shd w:val="clear" w:color="auto" w:fill="auto"/>
                  <w:noWrap/>
                  <w:vAlign w:val="bottom"/>
                  <w:hideMark/>
                </w:tcPr>
                <w:p w14:paraId="2FC900D7"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7 600</w:t>
                  </w:r>
                </w:p>
              </w:tc>
            </w:tr>
            <w:tr w:rsidR="00316A4A" w:rsidRPr="00316A4A" w14:paraId="737CA933" w14:textId="77777777" w:rsidTr="00316A4A">
              <w:trPr>
                <w:trHeight w:val="290"/>
              </w:trPr>
              <w:tc>
                <w:tcPr>
                  <w:tcW w:w="745" w:type="dxa"/>
                  <w:shd w:val="clear" w:color="auto" w:fill="auto"/>
                  <w:noWrap/>
                  <w:vAlign w:val="bottom"/>
                  <w:hideMark/>
                </w:tcPr>
                <w:p w14:paraId="14D043A0"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9</w:t>
                  </w:r>
                </w:p>
              </w:tc>
              <w:tc>
                <w:tcPr>
                  <w:tcW w:w="1532" w:type="dxa"/>
                  <w:shd w:val="clear" w:color="auto" w:fill="auto"/>
                  <w:noWrap/>
                  <w:vAlign w:val="bottom"/>
                  <w:hideMark/>
                </w:tcPr>
                <w:p w14:paraId="14BEFEC2" w14:textId="77777777" w:rsidR="006C1726" w:rsidRPr="00316A4A" w:rsidRDefault="006C1726" w:rsidP="006C1726">
                  <w:pPr>
                    <w:spacing w:after="0" w:line="240" w:lineRule="auto"/>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SIA "CSC TELECOM"</w:t>
                  </w:r>
                </w:p>
              </w:tc>
              <w:tc>
                <w:tcPr>
                  <w:tcW w:w="1097" w:type="dxa"/>
                  <w:shd w:val="clear" w:color="auto" w:fill="auto"/>
                  <w:noWrap/>
                  <w:vAlign w:val="bottom"/>
                  <w:hideMark/>
                </w:tcPr>
                <w:p w14:paraId="7E4023B3"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2 198</w:t>
                  </w:r>
                </w:p>
              </w:tc>
              <w:tc>
                <w:tcPr>
                  <w:tcW w:w="1007" w:type="dxa"/>
                  <w:shd w:val="clear" w:color="auto" w:fill="auto"/>
                  <w:noWrap/>
                  <w:vAlign w:val="bottom"/>
                  <w:hideMark/>
                </w:tcPr>
                <w:p w14:paraId="7DA69850"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24</w:t>
                  </w:r>
                </w:p>
              </w:tc>
              <w:tc>
                <w:tcPr>
                  <w:tcW w:w="1007" w:type="dxa"/>
                  <w:shd w:val="clear" w:color="auto" w:fill="auto"/>
                  <w:noWrap/>
                  <w:vAlign w:val="bottom"/>
                  <w:hideMark/>
                </w:tcPr>
                <w:p w14:paraId="7B2E32DD"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2 222</w:t>
                  </w:r>
                </w:p>
              </w:tc>
              <w:tc>
                <w:tcPr>
                  <w:tcW w:w="940" w:type="dxa"/>
                  <w:shd w:val="clear" w:color="auto" w:fill="auto"/>
                  <w:noWrap/>
                  <w:vAlign w:val="bottom"/>
                  <w:hideMark/>
                </w:tcPr>
                <w:p w14:paraId="36624797"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3 704</w:t>
                  </w:r>
                </w:p>
              </w:tc>
              <w:tc>
                <w:tcPr>
                  <w:tcW w:w="1007" w:type="dxa"/>
                  <w:shd w:val="clear" w:color="auto" w:fill="auto"/>
                  <w:noWrap/>
                  <w:vAlign w:val="bottom"/>
                  <w:hideMark/>
                </w:tcPr>
                <w:p w14:paraId="736136B5"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5 926</w:t>
                  </w:r>
                </w:p>
              </w:tc>
            </w:tr>
            <w:tr w:rsidR="00316A4A" w:rsidRPr="00316A4A" w14:paraId="39A44761" w14:textId="77777777" w:rsidTr="00316A4A">
              <w:trPr>
                <w:trHeight w:val="290"/>
              </w:trPr>
              <w:tc>
                <w:tcPr>
                  <w:tcW w:w="745" w:type="dxa"/>
                  <w:shd w:val="clear" w:color="auto" w:fill="auto"/>
                  <w:noWrap/>
                  <w:vAlign w:val="bottom"/>
                  <w:hideMark/>
                </w:tcPr>
                <w:p w14:paraId="1073F5A7"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10</w:t>
                  </w:r>
                </w:p>
              </w:tc>
              <w:tc>
                <w:tcPr>
                  <w:tcW w:w="1532" w:type="dxa"/>
                  <w:shd w:val="clear" w:color="auto" w:fill="auto"/>
                  <w:noWrap/>
                  <w:vAlign w:val="bottom"/>
                  <w:hideMark/>
                </w:tcPr>
                <w:p w14:paraId="4BA3BF57" w14:textId="77777777" w:rsidR="006C1726" w:rsidRPr="00316A4A" w:rsidRDefault="006C1726" w:rsidP="006C1726">
                  <w:pPr>
                    <w:spacing w:after="0" w:line="240" w:lineRule="auto"/>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SIA "Tele0"</w:t>
                  </w:r>
                </w:p>
              </w:tc>
              <w:tc>
                <w:tcPr>
                  <w:tcW w:w="1097" w:type="dxa"/>
                  <w:shd w:val="clear" w:color="auto" w:fill="auto"/>
                  <w:noWrap/>
                  <w:vAlign w:val="bottom"/>
                  <w:hideMark/>
                </w:tcPr>
                <w:p w14:paraId="63F044DE"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4 560</w:t>
                  </w:r>
                </w:p>
              </w:tc>
              <w:tc>
                <w:tcPr>
                  <w:tcW w:w="1007" w:type="dxa"/>
                  <w:shd w:val="clear" w:color="auto" w:fill="auto"/>
                  <w:noWrap/>
                  <w:vAlign w:val="bottom"/>
                  <w:hideMark/>
                </w:tcPr>
                <w:p w14:paraId="138EF7CE"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36</w:t>
                  </w:r>
                </w:p>
              </w:tc>
              <w:tc>
                <w:tcPr>
                  <w:tcW w:w="1007" w:type="dxa"/>
                  <w:shd w:val="clear" w:color="auto" w:fill="auto"/>
                  <w:noWrap/>
                  <w:vAlign w:val="bottom"/>
                  <w:hideMark/>
                </w:tcPr>
                <w:p w14:paraId="6EC556AD"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4 596</w:t>
                  </w:r>
                </w:p>
              </w:tc>
              <w:tc>
                <w:tcPr>
                  <w:tcW w:w="940" w:type="dxa"/>
                  <w:shd w:val="clear" w:color="auto" w:fill="auto"/>
                  <w:noWrap/>
                  <w:vAlign w:val="bottom"/>
                  <w:hideMark/>
                </w:tcPr>
                <w:p w14:paraId="239B1792"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288</w:t>
                  </w:r>
                </w:p>
              </w:tc>
              <w:tc>
                <w:tcPr>
                  <w:tcW w:w="1007" w:type="dxa"/>
                  <w:shd w:val="clear" w:color="auto" w:fill="auto"/>
                  <w:noWrap/>
                  <w:vAlign w:val="bottom"/>
                  <w:hideMark/>
                </w:tcPr>
                <w:p w14:paraId="0FE40519"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4 884</w:t>
                  </w:r>
                </w:p>
              </w:tc>
            </w:tr>
            <w:tr w:rsidR="00316A4A" w:rsidRPr="00316A4A" w14:paraId="6F92C80C" w14:textId="77777777" w:rsidTr="00316A4A">
              <w:trPr>
                <w:trHeight w:val="290"/>
              </w:trPr>
              <w:tc>
                <w:tcPr>
                  <w:tcW w:w="745" w:type="dxa"/>
                  <w:shd w:val="clear" w:color="auto" w:fill="auto"/>
                  <w:noWrap/>
                  <w:vAlign w:val="bottom"/>
                  <w:hideMark/>
                </w:tcPr>
                <w:p w14:paraId="6E533006"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11</w:t>
                  </w:r>
                </w:p>
              </w:tc>
              <w:tc>
                <w:tcPr>
                  <w:tcW w:w="1532" w:type="dxa"/>
                  <w:shd w:val="clear" w:color="auto" w:fill="auto"/>
                  <w:noWrap/>
                  <w:vAlign w:val="bottom"/>
                  <w:hideMark/>
                </w:tcPr>
                <w:p w14:paraId="08664394" w14:textId="77777777" w:rsidR="006C1726" w:rsidRPr="00316A4A" w:rsidRDefault="006C1726" w:rsidP="006C1726">
                  <w:pPr>
                    <w:spacing w:after="0" w:line="240" w:lineRule="auto"/>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SIA "Baltcom"</w:t>
                  </w:r>
                </w:p>
              </w:tc>
              <w:tc>
                <w:tcPr>
                  <w:tcW w:w="1097" w:type="dxa"/>
                  <w:shd w:val="clear" w:color="auto" w:fill="auto"/>
                  <w:noWrap/>
                  <w:vAlign w:val="bottom"/>
                  <w:hideMark/>
                </w:tcPr>
                <w:p w14:paraId="563B3FBC"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288</w:t>
                  </w:r>
                </w:p>
              </w:tc>
              <w:tc>
                <w:tcPr>
                  <w:tcW w:w="1007" w:type="dxa"/>
                  <w:shd w:val="clear" w:color="auto" w:fill="auto"/>
                  <w:noWrap/>
                  <w:vAlign w:val="bottom"/>
                  <w:hideMark/>
                </w:tcPr>
                <w:p w14:paraId="3A08E743"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24</w:t>
                  </w:r>
                </w:p>
              </w:tc>
              <w:tc>
                <w:tcPr>
                  <w:tcW w:w="1007" w:type="dxa"/>
                  <w:shd w:val="clear" w:color="auto" w:fill="auto"/>
                  <w:noWrap/>
                  <w:vAlign w:val="bottom"/>
                  <w:hideMark/>
                </w:tcPr>
                <w:p w14:paraId="029CD8A0"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312</w:t>
                  </w:r>
                </w:p>
              </w:tc>
              <w:tc>
                <w:tcPr>
                  <w:tcW w:w="940" w:type="dxa"/>
                  <w:shd w:val="clear" w:color="auto" w:fill="auto"/>
                  <w:noWrap/>
                  <w:vAlign w:val="bottom"/>
                  <w:hideMark/>
                </w:tcPr>
                <w:p w14:paraId="562F1916"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3 948</w:t>
                  </w:r>
                </w:p>
              </w:tc>
              <w:tc>
                <w:tcPr>
                  <w:tcW w:w="1007" w:type="dxa"/>
                  <w:shd w:val="clear" w:color="auto" w:fill="auto"/>
                  <w:noWrap/>
                  <w:vAlign w:val="bottom"/>
                  <w:hideMark/>
                </w:tcPr>
                <w:p w14:paraId="67E24C37"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4 260</w:t>
                  </w:r>
                </w:p>
              </w:tc>
            </w:tr>
            <w:tr w:rsidR="00316A4A" w:rsidRPr="00316A4A" w14:paraId="4D69ABD0" w14:textId="77777777" w:rsidTr="00316A4A">
              <w:trPr>
                <w:trHeight w:val="290"/>
              </w:trPr>
              <w:tc>
                <w:tcPr>
                  <w:tcW w:w="745" w:type="dxa"/>
                  <w:shd w:val="clear" w:color="auto" w:fill="auto"/>
                  <w:noWrap/>
                  <w:vAlign w:val="bottom"/>
                  <w:hideMark/>
                </w:tcPr>
                <w:p w14:paraId="6D116E0A"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12</w:t>
                  </w:r>
                </w:p>
              </w:tc>
              <w:tc>
                <w:tcPr>
                  <w:tcW w:w="1532" w:type="dxa"/>
                  <w:shd w:val="clear" w:color="auto" w:fill="auto"/>
                  <w:noWrap/>
                  <w:vAlign w:val="bottom"/>
                  <w:hideMark/>
                </w:tcPr>
                <w:p w14:paraId="50B7753C" w14:textId="77777777" w:rsidR="006C1726" w:rsidRPr="00316A4A" w:rsidRDefault="006C1726" w:rsidP="006C1726">
                  <w:pPr>
                    <w:spacing w:after="0" w:line="240" w:lineRule="auto"/>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AS "</w:t>
                  </w:r>
                  <w:proofErr w:type="spellStart"/>
                  <w:r w:rsidRPr="00316A4A">
                    <w:rPr>
                      <w:rFonts w:ascii="Times New Roman" w:eastAsia="Times New Roman" w:hAnsi="Times New Roman"/>
                      <w:sz w:val="18"/>
                      <w:szCs w:val="18"/>
                      <w:lang w:eastAsia="lv-LV"/>
                    </w:rPr>
                    <w:t>Telekom</w:t>
                  </w:r>
                  <w:proofErr w:type="spellEnd"/>
                  <w:r w:rsidRPr="00316A4A">
                    <w:rPr>
                      <w:rFonts w:ascii="Times New Roman" w:eastAsia="Times New Roman" w:hAnsi="Times New Roman"/>
                      <w:sz w:val="18"/>
                      <w:szCs w:val="18"/>
                      <w:lang w:eastAsia="lv-LV"/>
                    </w:rPr>
                    <w:t xml:space="preserve"> Baltija"</w:t>
                  </w:r>
                </w:p>
              </w:tc>
              <w:tc>
                <w:tcPr>
                  <w:tcW w:w="1097" w:type="dxa"/>
                  <w:shd w:val="clear" w:color="auto" w:fill="auto"/>
                  <w:noWrap/>
                  <w:vAlign w:val="bottom"/>
                  <w:hideMark/>
                </w:tcPr>
                <w:p w14:paraId="29196586"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82</w:t>
                  </w:r>
                </w:p>
              </w:tc>
              <w:tc>
                <w:tcPr>
                  <w:tcW w:w="1007" w:type="dxa"/>
                  <w:shd w:val="clear" w:color="auto" w:fill="auto"/>
                  <w:noWrap/>
                  <w:vAlign w:val="bottom"/>
                  <w:hideMark/>
                </w:tcPr>
                <w:p w14:paraId="4E58A0A4"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264</w:t>
                  </w:r>
                </w:p>
              </w:tc>
              <w:tc>
                <w:tcPr>
                  <w:tcW w:w="1007" w:type="dxa"/>
                  <w:shd w:val="clear" w:color="auto" w:fill="auto"/>
                  <w:noWrap/>
                  <w:vAlign w:val="bottom"/>
                  <w:hideMark/>
                </w:tcPr>
                <w:p w14:paraId="3917A10D"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346</w:t>
                  </w:r>
                </w:p>
              </w:tc>
              <w:tc>
                <w:tcPr>
                  <w:tcW w:w="940" w:type="dxa"/>
                  <w:shd w:val="clear" w:color="auto" w:fill="auto"/>
                  <w:noWrap/>
                  <w:vAlign w:val="bottom"/>
                  <w:hideMark/>
                </w:tcPr>
                <w:p w14:paraId="5A8A31A9"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3 632</w:t>
                  </w:r>
                </w:p>
              </w:tc>
              <w:tc>
                <w:tcPr>
                  <w:tcW w:w="1007" w:type="dxa"/>
                  <w:shd w:val="clear" w:color="auto" w:fill="auto"/>
                  <w:noWrap/>
                  <w:vAlign w:val="bottom"/>
                  <w:hideMark/>
                </w:tcPr>
                <w:p w14:paraId="029FF43E"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3 978</w:t>
                  </w:r>
                </w:p>
              </w:tc>
            </w:tr>
            <w:tr w:rsidR="00316A4A" w:rsidRPr="00316A4A" w14:paraId="2195AD5C" w14:textId="77777777" w:rsidTr="00316A4A">
              <w:trPr>
                <w:trHeight w:val="290"/>
              </w:trPr>
              <w:tc>
                <w:tcPr>
                  <w:tcW w:w="745" w:type="dxa"/>
                  <w:shd w:val="clear" w:color="auto" w:fill="auto"/>
                  <w:noWrap/>
                  <w:vAlign w:val="bottom"/>
                  <w:hideMark/>
                </w:tcPr>
                <w:p w14:paraId="69F13ABB"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13</w:t>
                  </w:r>
                </w:p>
              </w:tc>
              <w:tc>
                <w:tcPr>
                  <w:tcW w:w="1532" w:type="dxa"/>
                  <w:shd w:val="clear" w:color="auto" w:fill="auto"/>
                  <w:noWrap/>
                  <w:vAlign w:val="bottom"/>
                  <w:hideMark/>
                </w:tcPr>
                <w:p w14:paraId="6667058D" w14:textId="77777777" w:rsidR="006C1726" w:rsidRPr="00316A4A" w:rsidRDefault="006C1726" w:rsidP="006C1726">
                  <w:pPr>
                    <w:spacing w:after="0" w:line="240" w:lineRule="auto"/>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 xml:space="preserve">SIA "ECO </w:t>
                  </w:r>
                  <w:proofErr w:type="spellStart"/>
                  <w:r w:rsidRPr="00316A4A">
                    <w:rPr>
                      <w:rFonts w:ascii="Times New Roman" w:eastAsia="Times New Roman" w:hAnsi="Times New Roman"/>
                      <w:sz w:val="18"/>
                      <w:szCs w:val="18"/>
                      <w:lang w:eastAsia="lv-LV"/>
                    </w:rPr>
                    <w:t>Networks</w:t>
                  </w:r>
                  <w:proofErr w:type="spellEnd"/>
                  <w:r w:rsidRPr="00316A4A">
                    <w:rPr>
                      <w:rFonts w:ascii="Times New Roman" w:eastAsia="Times New Roman" w:hAnsi="Times New Roman"/>
                      <w:sz w:val="18"/>
                      <w:szCs w:val="18"/>
                      <w:lang w:eastAsia="lv-LV"/>
                    </w:rPr>
                    <w:t>"</w:t>
                  </w:r>
                </w:p>
              </w:tc>
              <w:tc>
                <w:tcPr>
                  <w:tcW w:w="1097" w:type="dxa"/>
                  <w:shd w:val="clear" w:color="auto" w:fill="auto"/>
                  <w:noWrap/>
                  <w:vAlign w:val="bottom"/>
                  <w:hideMark/>
                </w:tcPr>
                <w:p w14:paraId="194CE876"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2 729</w:t>
                  </w:r>
                </w:p>
              </w:tc>
              <w:tc>
                <w:tcPr>
                  <w:tcW w:w="1007" w:type="dxa"/>
                  <w:shd w:val="clear" w:color="auto" w:fill="auto"/>
                  <w:noWrap/>
                  <w:vAlign w:val="bottom"/>
                  <w:hideMark/>
                </w:tcPr>
                <w:p w14:paraId="367EC279"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12</w:t>
                  </w:r>
                </w:p>
              </w:tc>
              <w:tc>
                <w:tcPr>
                  <w:tcW w:w="1007" w:type="dxa"/>
                  <w:shd w:val="clear" w:color="auto" w:fill="auto"/>
                  <w:noWrap/>
                  <w:vAlign w:val="bottom"/>
                  <w:hideMark/>
                </w:tcPr>
                <w:p w14:paraId="37F75A00"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2 741</w:t>
                  </w:r>
                </w:p>
              </w:tc>
              <w:tc>
                <w:tcPr>
                  <w:tcW w:w="940" w:type="dxa"/>
                  <w:shd w:val="clear" w:color="auto" w:fill="auto"/>
                  <w:noWrap/>
                  <w:vAlign w:val="bottom"/>
                  <w:hideMark/>
                </w:tcPr>
                <w:p w14:paraId="274474C3"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600</w:t>
                  </w:r>
                </w:p>
              </w:tc>
              <w:tc>
                <w:tcPr>
                  <w:tcW w:w="1007" w:type="dxa"/>
                  <w:shd w:val="clear" w:color="auto" w:fill="auto"/>
                  <w:noWrap/>
                  <w:vAlign w:val="bottom"/>
                  <w:hideMark/>
                </w:tcPr>
                <w:p w14:paraId="0840309D"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3 341</w:t>
                  </w:r>
                </w:p>
              </w:tc>
            </w:tr>
            <w:tr w:rsidR="00316A4A" w:rsidRPr="00316A4A" w14:paraId="175EA522" w14:textId="77777777" w:rsidTr="00316A4A">
              <w:trPr>
                <w:trHeight w:val="290"/>
              </w:trPr>
              <w:tc>
                <w:tcPr>
                  <w:tcW w:w="745" w:type="dxa"/>
                  <w:shd w:val="clear" w:color="auto" w:fill="auto"/>
                  <w:noWrap/>
                  <w:vAlign w:val="bottom"/>
                  <w:hideMark/>
                </w:tcPr>
                <w:p w14:paraId="0628705A"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14</w:t>
                  </w:r>
                </w:p>
              </w:tc>
              <w:tc>
                <w:tcPr>
                  <w:tcW w:w="1532" w:type="dxa"/>
                  <w:shd w:val="clear" w:color="auto" w:fill="auto"/>
                  <w:noWrap/>
                  <w:vAlign w:val="bottom"/>
                  <w:hideMark/>
                </w:tcPr>
                <w:p w14:paraId="586ADC93" w14:textId="77777777" w:rsidR="006C1726" w:rsidRPr="00316A4A" w:rsidRDefault="006C1726" w:rsidP="006C1726">
                  <w:pPr>
                    <w:spacing w:after="0" w:line="240" w:lineRule="auto"/>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SIA "</w:t>
                  </w:r>
                  <w:proofErr w:type="spellStart"/>
                  <w:r w:rsidRPr="00316A4A">
                    <w:rPr>
                      <w:rFonts w:ascii="Times New Roman" w:eastAsia="Times New Roman" w:hAnsi="Times New Roman"/>
                      <w:sz w:val="18"/>
                      <w:szCs w:val="18"/>
                      <w:lang w:eastAsia="lv-LV"/>
                    </w:rPr>
                    <w:t>Fixed</w:t>
                  </w:r>
                  <w:proofErr w:type="spellEnd"/>
                  <w:r w:rsidRPr="00316A4A">
                    <w:rPr>
                      <w:rFonts w:ascii="Times New Roman" w:eastAsia="Times New Roman" w:hAnsi="Times New Roman"/>
                      <w:sz w:val="18"/>
                      <w:szCs w:val="18"/>
                      <w:lang w:eastAsia="lv-LV"/>
                    </w:rPr>
                    <w:t xml:space="preserve"> Lines"</w:t>
                  </w:r>
                </w:p>
              </w:tc>
              <w:tc>
                <w:tcPr>
                  <w:tcW w:w="1097" w:type="dxa"/>
                  <w:shd w:val="clear" w:color="auto" w:fill="auto"/>
                  <w:noWrap/>
                  <w:vAlign w:val="bottom"/>
                  <w:hideMark/>
                </w:tcPr>
                <w:p w14:paraId="169CCFDE"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10</w:t>
                  </w:r>
                </w:p>
              </w:tc>
              <w:tc>
                <w:tcPr>
                  <w:tcW w:w="1007" w:type="dxa"/>
                  <w:shd w:val="clear" w:color="auto" w:fill="auto"/>
                  <w:noWrap/>
                  <w:vAlign w:val="bottom"/>
                  <w:hideMark/>
                </w:tcPr>
                <w:p w14:paraId="18DF30AC"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0</w:t>
                  </w:r>
                </w:p>
              </w:tc>
              <w:tc>
                <w:tcPr>
                  <w:tcW w:w="1007" w:type="dxa"/>
                  <w:shd w:val="clear" w:color="auto" w:fill="auto"/>
                  <w:noWrap/>
                  <w:vAlign w:val="bottom"/>
                  <w:hideMark/>
                </w:tcPr>
                <w:p w14:paraId="455AF2BA"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10</w:t>
                  </w:r>
                </w:p>
              </w:tc>
              <w:tc>
                <w:tcPr>
                  <w:tcW w:w="940" w:type="dxa"/>
                  <w:shd w:val="clear" w:color="auto" w:fill="auto"/>
                  <w:noWrap/>
                  <w:vAlign w:val="bottom"/>
                  <w:hideMark/>
                </w:tcPr>
                <w:p w14:paraId="4D1EA4E8"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3 268</w:t>
                  </w:r>
                </w:p>
              </w:tc>
              <w:tc>
                <w:tcPr>
                  <w:tcW w:w="1007" w:type="dxa"/>
                  <w:shd w:val="clear" w:color="auto" w:fill="auto"/>
                  <w:noWrap/>
                  <w:vAlign w:val="bottom"/>
                  <w:hideMark/>
                </w:tcPr>
                <w:p w14:paraId="2BA9423B"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3 278</w:t>
                  </w:r>
                </w:p>
              </w:tc>
            </w:tr>
            <w:tr w:rsidR="00316A4A" w:rsidRPr="00316A4A" w14:paraId="38ABF007" w14:textId="77777777" w:rsidTr="00316A4A">
              <w:trPr>
                <w:trHeight w:val="290"/>
              </w:trPr>
              <w:tc>
                <w:tcPr>
                  <w:tcW w:w="745" w:type="dxa"/>
                  <w:shd w:val="clear" w:color="auto" w:fill="auto"/>
                  <w:noWrap/>
                  <w:vAlign w:val="bottom"/>
                  <w:hideMark/>
                </w:tcPr>
                <w:p w14:paraId="24F1B8B5"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15</w:t>
                  </w:r>
                </w:p>
              </w:tc>
              <w:tc>
                <w:tcPr>
                  <w:tcW w:w="1532" w:type="dxa"/>
                  <w:shd w:val="clear" w:color="auto" w:fill="auto"/>
                  <w:noWrap/>
                  <w:vAlign w:val="bottom"/>
                  <w:hideMark/>
                </w:tcPr>
                <w:p w14:paraId="6847C9CC" w14:textId="77777777" w:rsidR="006C1726" w:rsidRPr="00316A4A" w:rsidRDefault="006C1726" w:rsidP="006C1726">
                  <w:pPr>
                    <w:spacing w:after="0" w:line="240" w:lineRule="auto"/>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SIA "</w:t>
                  </w:r>
                  <w:proofErr w:type="spellStart"/>
                  <w:r w:rsidRPr="00316A4A">
                    <w:rPr>
                      <w:rFonts w:ascii="Times New Roman" w:eastAsia="Times New Roman" w:hAnsi="Times New Roman"/>
                      <w:sz w:val="18"/>
                      <w:szCs w:val="18"/>
                      <w:lang w:eastAsia="lv-LV"/>
                    </w:rPr>
                    <w:t>Telegrupa</w:t>
                  </w:r>
                  <w:proofErr w:type="spellEnd"/>
                  <w:r w:rsidRPr="00316A4A">
                    <w:rPr>
                      <w:rFonts w:ascii="Times New Roman" w:eastAsia="Times New Roman" w:hAnsi="Times New Roman"/>
                      <w:sz w:val="18"/>
                      <w:szCs w:val="18"/>
                      <w:lang w:eastAsia="lv-LV"/>
                    </w:rPr>
                    <w:t xml:space="preserve"> Baltijā"</w:t>
                  </w:r>
                </w:p>
              </w:tc>
              <w:tc>
                <w:tcPr>
                  <w:tcW w:w="1097" w:type="dxa"/>
                  <w:shd w:val="clear" w:color="auto" w:fill="auto"/>
                  <w:noWrap/>
                  <w:vAlign w:val="bottom"/>
                  <w:hideMark/>
                </w:tcPr>
                <w:p w14:paraId="25159358"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271</w:t>
                  </w:r>
                </w:p>
              </w:tc>
              <w:tc>
                <w:tcPr>
                  <w:tcW w:w="1007" w:type="dxa"/>
                  <w:shd w:val="clear" w:color="auto" w:fill="auto"/>
                  <w:noWrap/>
                  <w:vAlign w:val="bottom"/>
                  <w:hideMark/>
                </w:tcPr>
                <w:p w14:paraId="47C25097"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120</w:t>
                  </w:r>
                </w:p>
              </w:tc>
              <w:tc>
                <w:tcPr>
                  <w:tcW w:w="1007" w:type="dxa"/>
                  <w:shd w:val="clear" w:color="auto" w:fill="auto"/>
                  <w:noWrap/>
                  <w:vAlign w:val="bottom"/>
                  <w:hideMark/>
                </w:tcPr>
                <w:p w14:paraId="049A7E7C"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391</w:t>
                  </w:r>
                </w:p>
              </w:tc>
              <w:tc>
                <w:tcPr>
                  <w:tcW w:w="940" w:type="dxa"/>
                  <w:shd w:val="clear" w:color="auto" w:fill="auto"/>
                  <w:noWrap/>
                  <w:vAlign w:val="bottom"/>
                  <w:hideMark/>
                </w:tcPr>
                <w:p w14:paraId="35F3156B"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2 700</w:t>
                  </w:r>
                </w:p>
              </w:tc>
              <w:tc>
                <w:tcPr>
                  <w:tcW w:w="1007" w:type="dxa"/>
                  <w:shd w:val="clear" w:color="auto" w:fill="auto"/>
                  <w:noWrap/>
                  <w:vAlign w:val="bottom"/>
                  <w:hideMark/>
                </w:tcPr>
                <w:p w14:paraId="49897074"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3 091</w:t>
                  </w:r>
                </w:p>
              </w:tc>
            </w:tr>
            <w:tr w:rsidR="00316A4A" w:rsidRPr="00316A4A" w14:paraId="1DF2D0C1" w14:textId="77777777" w:rsidTr="00316A4A">
              <w:trPr>
                <w:trHeight w:val="290"/>
              </w:trPr>
              <w:tc>
                <w:tcPr>
                  <w:tcW w:w="745" w:type="dxa"/>
                  <w:tcBorders>
                    <w:bottom w:val="single" w:sz="4" w:space="0" w:color="auto"/>
                  </w:tcBorders>
                  <w:shd w:val="clear" w:color="auto" w:fill="auto"/>
                  <w:noWrap/>
                  <w:vAlign w:val="bottom"/>
                  <w:hideMark/>
                </w:tcPr>
                <w:p w14:paraId="372406DF"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16</w:t>
                  </w:r>
                </w:p>
              </w:tc>
              <w:tc>
                <w:tcPr>
                  <w:tcW w:w="1532" w:type="dxa"/>
                  <w:tcBorders>
                    <w:bottom w:val="single" w:sz="4" w:space="0" w:color="auto"/>
                  </w:tcBorders>
                  <w:shd w:val="clear" w:color="auto" w:fill="auto"/>
                  <w:noWrap/>
                  <w:vAlign w:val="bottom"/>
                  <w:hideMark/>
                </w:tcPr>
                <w:p w14:paraId="7C287A0A" w14:textId="77777777" w:rsidR="006C1726" w:rsidRPr="00316A4A" w:rsidRDefault="006C1726" w:rsidP="006C1726">
                  <w:pPr>
                    <w:spacing w:after="0" w:line="240" w:lineRule="auto"/>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Pārējie komersanti kopā</w:t>
                  </w:r>
                </w:p>
              </w:tc>
              <w:tc>
                <w:tcPr>
                  <w:tcW w:w="1097" w:type="dxa"/>
                  <w:tcBorders>
                    <w:bottom w:val="single" w:sz="4" w:space="0" w:color="auto"/>
                  </w:tcBorders>
                  <w:shd w:val="clear" w:color="auto" w:fill="auto"/>
                  <w:noWrap/>
                  <w:vAlign w:val="bottom"/>
                  <w:hideMark/>
                </w:tcPr>
                <w:p w14:paraId="37DEDA74"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571</w:t>
                  </w:r>
                </w:p>
              </w:tc>
              <w:tc>
                <w:tcPr>
                  <w:tcW w:w="1007" w:type="dxa"/>
                  <w:tcBorders>
                    <w:bottom w:val="single" w:sz="4" w:space="0" w:color="auto"/>
                  </w:tcBorders>
                  <w:shd w:val="clear" w:color="auto" w:fill="auto"/>
                  <w:noWrap/>
                  <w:vAlign w:val="bottom"/>
                  <w:hideMark/>
                </w:tcPr>
                <w:p w14:paraId="7B6F61B0"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744</w:t>
                  </w:r>
                </w:p>
              </w:tc>
              <w:tc>
                <w:tcPr>
                  <w:tcW w:w="1007" w:type="dxa"/>
                  <w:tcBorders>
                    <w:bottom w:val="single" w:sz="4" w:space="0" w:color="auto"/>
                  </w:tcBorders>
                  <w:shd w:val="clear" w:color="auto" w:fill="auto"/>
                  <w:noWrap/>
                  <w:vAlign w:val="bottom"/>
                  <w:hideMark/>
                </w:tcPr>
                <w:p w14:paraId="7B039D10"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1 315</w:t>
                  </w:r>
                </w:p>
              </w:tc>
              <w:tc>
                <w:tcPr>
                  <w:tcW w:w="940" w:type="dxa"/>
                  <w:tcBorders>
                    <w:bottom w:val="single" w:sz="4" w:space="0" w:color="auto"/>
                  </w:tcBorders>
                  <w:shd w:val="clear" w:color="auto" w:fill="auto"/>
                  <w:noWrap/>
                  <w:vAlign w:val="bottom"/>
                  <w:hideMark/>
                </w:tcPr>
                <w:p w14:paraId="54AD6007"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8 928</w:t>
                  </w:r>
                </w:p>
              </w:tc>
              <w:tc>
                <w:tcPr>
                  <w:tcW w:w="1007" w:type="dxa"/>
                  <w:tcBorders>
                    <w:bottom w:val="single" w:sz="4" w:space="0" w:color="auto"/>
                  </w:tcBorders>
                  <w:shd w:val="clear" w:color="auto" w:fill="auto"/>
                  <w:noWrap/>
                  <w:vAlign w:val="bottom"/>
                  <w:hideMark/>
                </w:tcPr>
                <w:p w14:paraId="1A49D811"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10 243</w:t>
                  </w:r>
                </w:p>
              </w:tc>
            </w:tr>
            <w:tr w:rsidR="00316A4A" w:rsidRPr="00316A4A" w14:paraId="0244E2BA" w14:textId="77777777" w:rsidTr="00316A4A">
              <w:trPr>
                <w:trHeight w:val="290"/>
              </w:trPr>
              <w:tc>
                <w:tcPr>
                  <w:tcW w:w="7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F4805"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 </w:t>
                  </w:r>
                </w:p>
              </w:tc>
              <w:tc>
                <w:tcPr>
                  <w:tcW w:w="1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A9B5F" w14:textId="77777777" w:rsidR="006C1726" w:rsidRPr="00316A4A" w:rsidRDefault="006C1726" w:rsidP="006C1726">
                  <w:pPr>
                    <w:spacing w:after="0" w:line="240" w:lineRule="auto"/>
                    <w:jc w:val="right"/>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KOPĀ:</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73DCB"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204 458</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A43A6"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27 216</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22C44"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231 674</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91B4C"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420 688</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91059" w14:textId="77777777" w:rsidR="006C1726" w:rsidRPr="00316A4A" w:rsidRDefault="006C1726" w:rsidP="006C1726">
                  <w:pPr>
                    <w:spacing w:after="0" w:line="240" w:lineRule="auto"/>
                    <w:jc w:val="center"/>
                    <w:rPr>
                      <w:rFonts w:ascii="Times New Roman" w:eastAsia="Times New Roman" w:hAnsi="Times New Roman"/>
                      <w:sz w:val="18"/>
                      <w:szCs w:val="18"/>
                      <w:lang w:eastAsia="lv-LV"/>
                    </w:rPr>
                  </w:pPr>
                  <w:r w:rsidRPr="00316A4A">
                    <w:rPr>
                      <w:rFonts w:ascii="Times New Roman" w:eastAsia="Times New Roman" w:hAnsi="Times New Roman"/>
                      <w:sz w:val="18"/>
                      <w:szCs w:val="18"/>
                      <w:lang w:eastAsia="lv-LV"/>
                    </w:rPr>
                    <w:t>652 362</w:t>
                  </w:r>
                </w:p>
              </w:tc>
            </w:tr>
          </w:tbl>
          <w:p w14:paraId="27BABC7C" w14:textId="77777777" w:rsidR="000C6057" w:rsidRDefault="00CA6DE6" w:rsidP="006C1726">
            <w:pPr>
              <w:spacing w:after="0" w:line="259" w:lineRule="auto"/>
              <w:rPr>
                <w:rFonts w:ascii="Times New Roman" w:hAnsi="Times New Roman"/>
                <w:sz w:val="18"/>
                <w:szCs w:val="18"/>
              </w:rPr>
            </w:pPr>
            <w:r w:rsidRPr="009B03E3">
              <w:rPr>
                <w:rFonts w:ascii="Times New Roman" w:hAnsi="Times New Roman"/>
                <w:sz w:val="18"/>
                <w:szCs w:val="18"/>
              </w:rPr>
              <w:t xml:space="preserve">* </w:t>
            </w:r>
            <w:r w:rsidR="000C6057" w:rsidRPr="000C6057">
              <w:rPr>
                <w:rFonts w:ascii="Times New Roman" w:hAnsi="Times New Roman"/>
                <w:sz w:val="18"/>
                <w:szCs w:val="18"/>
              </w:rPr>
              <w:t>Elektronisko sakaru komersanti, kuriem piešķirts lielākais num</w:t>
            </w:r>
            <w:r w:rsidR="005D3C34">
              <w:rPr>
                <w:rFonts w:ascii="Times New Roman" w:hAnsi="Times New Roman"/>
                <w:sz w:val="18"/>
                <w:szCs w:val="18"/>
              </w:rPr>
              <w:t>u</w:t>
            </w:r>
            <w:r w:rsidR="000C6057" w:rsidRPr="000C6057">
              <w:rPr>
                <w:rFonts w:ascii="Times New Roman" w:hAnsi="Times New Roman"/>
                <w:sz w:val="18"/>
                <w:szCs w:val="18"/>
              </w:rPr>
              <w:t>r</w:t>
            </w:r>
            <w:r w:rsidR="005D3C34">
              <w:rPr>
                <w:rFonts w:ascii="Times New Roman" w:hAnsi="Times New Roman"/>
                <w:sz w:val="18"/>
                <w:szCs w:val="18"/>
              </w:rPr>
              <w:t>u</w:t>
            </w:r>
            <w:r w:rsidR="000C6057" w:rsidRPr="000C6057">
              <w:rPr>
                <w:rFonts w:ascii="Times New Roman" w:hAnsi="Times New Roman"/>
                <w:sz w:val="18"/>
                <w:szCs w:val="18"/>
              </w:rPr>
              <w:t xml:space="preserve"> skaits </w:t>
            </w:r>
            <w:r w:rsidRPr="009B03E3">
              <w:rPr>
                <w:rFonts w:ascii="Times New Roman" w:hAnsi="Times New Roman"/>
                <w:sz w:val="18"/>
                <w:szCs w:val="18"/>
              </w:rPr>
              <w:t xml:space="preserve">uz 2020.gada </w:t>
            </w:r>
            <w:r w:rsidR="00033B2C">
              <w:rPr>
                <w:rFonts w:ascii="Times New Roman" w:hAnsi="Times New Roman"/>
                <w:sz w:val="18"/>
                <w:szCs w:val="18"/>
              </w:rPr>
              <w:t>14.jūliju</w:t>
            </w:r>
            <w:r w:rsidR="000C6057">
              <w:rPr>
                <w:rFonts w:ascii="Times New Roman" w:hAnsi="Times New Roman"/>
                <w:sz w:val="18"/>
                <w:szCs w:val="18"/>
              </w:rPr>
              <w:t xml:space="preserve"> (</w:t>
            </w:r>
            <w:r w:rsidR="005D3C34">
              <w:rPr>
                <w:rFonts w:ascii="Times New Roman" w:hAnsi="Times New Roman"/>
                <w:sz w:val="18"/>
                <w:szCs w:val="18"/>
              </w:rPr>
              <w:t>detalizētāku</w:t>
            </w:r>
            <w:r w:rsidR="000C6057">
              <w:rPr>
                <w:rFonts w:ascii="Times New Roman" w:hAnsi="Times New Roman"/>
                <w:sz w:val="18"/>
                <w:szCs w:val="18"/>
              </w:rPr>
              <w:t xml:space="preserve"> prognozi skatīt pielikumā).</w:t>
            </w:r>
          </w:p>
          <w:p w14:paraId="41DDA7E4" w14:textId="77777777" w:rsidR="00CA6DE6" w:rsidRPr="009B03E3" w:rsidRDefault="00CA6DE6" w:rsidP="006C1726">
            <w:pPr>
              <w:spacing w:after="0" w:line="259" w:lineRule="auto"/>
              <w:rPr>
                <w:rFonts w:ascii="Times New Roman" w:hAnsi="Times New Roman"/>
                <w:sz w:val="18"/>
                <w:szCs w:val="18"/>
              </w:rPr>
            </w:pPr>
            <w:r w:rsidRPr="009B03E3">
              <w:rPr>
                <w:rFonts w:ascii="Times New Roman" w:hAnsi="Times New Roman"/>
                <w:sz w:val="18"/>
                <w:szCs w:val="18"/>
              </w:rPr>
              <w:t xml:space="preserve"> </w:t>
            </w:r>
          </w:p>
          <w:p w14:paraId="6F7EA1EA" w14:textId="4DBE7D3F" w:rsidR="00D8402C" w:rsidRDefault="00D8402C" w:rsidP="006C1726">
            <w:pPr>
              <w:spacing w:after="0" w:line="240" w:lineRule="auto"/>
              <w:jc w:val="both"/>
              <w:rPr>
                <w:rFonts w:ascii="Times New Roman" w:hAnsi="Times New Roman"/>
                <w:sz w:val="24"/>
                <w:szCs w:val="24"/>
              </w:rPr>
            </w:pPr>
            <w:r>
              <w:rPr>
                <w:rFonts w:ascii="Times New Roman" w:hAnsi="Times New Roman"/>
                <w:sz w:val="24"/>
                <w:szCs w:val="24"/>
              </w:rPr>
              <w:t xml:space="preserve">Nodevas apmēru veido </w:t>
            </w:r>
            <w:proofErr w:type="spellStart"/>
            <w:r>
              <w:rPr>
                <w:rFonts w:ascii="Times New Roman" w:hAnsi="Times New Roman"/>
                <w:sz w:val="24"/>
                <w:szCs w:val="24"/>
              </w:rPr>
              <w:t>p</w:t>
            </w:r>
            <w:r w:rsidRPr="00D8402C">
              <w:rPr>
                <w:rFonts w:ascii="Times New Roman" w:hAnsi="Times New Roman"/>
                <w:sz w:val="24"/>
                <w:szCs w:val="24"/>
              </w:rPr>
              <w:t>amatkoeficients</w:t>
            </w:r>
            <w:proofErr w:type="spellEnd"/>
            <w:r w:rsidRPr="00D8402C">
              <w:rPr>
                <w:rFonts w:ascii="Times New Roman" w:hAnsi="Times New Roman"/>
                <w:sz w:val="24"/>
                <w:szCs w:val="24"/>
              </w:rPr>
              <w:t xml:space="preserve"> piešķirtajam numerācijas resursam reizināts ar pamatlikmi </w:t>
            </w:r>
            <w:proofErr w:type="spellStart"/>
            <w:r w:rsidRPr="00D8402C">
              <w:rPr>
                <w:rFonts w:ascii="Times New Roman" w:hAnsi="Times New Roman"/>
                <w:i/>
                <w:iCs/>
                <w:sz w:val="24"/>
                <w:szCs w:val="24"/>
              </w:rPr>
              <w:t>euro</w:t>
            </w:r>
            <w:proofErr w:type="spellEnd"/>
            <w:r w:rsidRPr="00D8402C">
              <w:rPr>
                <w:rFonts w:ascii="Times New Roman" w:hAnsi="Times New Roman"/>
                <w:sz w:val="24"/>
                <w:szCs w:val="24"/>
              </w:rPr>
              <w:t xml:space="preserve">, kā to paredz Koncepcija. </w:t>
            </w:r>
            <w:r>
              <w:rPr>
                <w:rFonts w:ascii="Times New Roman" w:hAnsi="Times New Roman"/>
                <w:sz w:val="24"/>
                <w:szCs w:val="24"/>
              </w:rPr>
              <w:t xml:space="preserve">Saskaņā ar </w:t>
            </w:r>
            <w:r w:rsidRPr="00D8402C">
              <w:rPr>
                <w:rFonts w:ascii="Times New Roman" w:hAnsi="Times New Roman"/>
                <w:sz w:val="24"/>
                <w:szCs w:val="24"/>
              </w:rPr>
              <w:t>Koncepcijas 4.4.</w:t>
            </w:r>
            <w:r w:rsidR="0080114C">
              <w:rPr>
                <w:rFonts w:ascii="Times New Roman" w:hAnsi="Times New Roman"/>
                <w:sz w:val="24"/>
                <w:szCs w:val="24"/>
              </w:rPr>
              <w:t>apakšnodaļ</w:t>
            </w:r>
            <w:r w:rsidR="0047678A">
              <w:rPr>
                <w:rFonts w:ascii="Times New Roman" w:hAnsi="Times New Roman"/>
                <w:sz w:val="24"/>
                <w:szCs w:val="24"/>
              </w:rPr>
              <w:t>ā</w:t>
            </w:r>
            <w:r w:rsidRPr="00D8402C">
              <w:rPr>
                <w:rFonts w:ascii="Times New Roman" w:hAnsi="Times New Roman"/>
                <w:sz w:val="24"/>
                <w:szCs w:val="24"/>
              </w:rPr>
              <w:t xml:space="preserve"> noteikto, </w:t>
            </w:r>
            <w:proofErr w:type="spellStart"/>
            <w:r w:rsidR="00AF285B">
              <w:rPr>
                <w:rFonts w:ascii="Times New Roman" w:hAnsi="Times New Roman"/>
                <w:sz w:val="24"/>
                <w:szCs w:val="24"/>
              </w:rPr>
              <w:t>pamat</w:t>
            </w:r>
            <w:r w:rsidRPr="00D8402C">
              <w:rPr>
                <w:rFonts w:ascii="Times New Roman" w:hAnsi="Times New Roman"/>
                <w:sz w:val="24"/>
                <w:szCs w:val="24"/>
              </w:rPr>
              <w:t>koeficientus</w:t>
            </w:r>
            <w:proofErr w:type="spellEnd"/>
            <w:r w:rsidRPr="00D8402C">
              <w:rPr>
                <w:rFonts w:ascii="Times New Roman" w:hAnsi="Times New Roman"/>
                <w:sz w:val="24"/>
                <w:szCs w:val="24"/>
              </w:rPr>
              <w:t xml:space="preserve"> un </w:t>
            </w:r>
            <w:r w:rsidR="00AF285B">
              <w:rPr>
                <w:rFonts w:ascii="Times New Roman" w:hAnsi="Times New Roman"/>
                <w:sz w:val="24"/>
                <w:szCs w:val="24"/>
              </w:rPr>
              <w:t>pamat</w:t>
            </w:r>
            <w:r w:rsidRPr="00D8402C">
              <w:rPr>
                <w:rFonts w:ascii="Times New Roman" w:hAnsi="Times New Roman"/>
                <w:sz w:val="24"/>
                <w:szCs w:val="24"/>
              </w:rPr>
              <w:t xml:space="preserve">likmes var pārskatīt, kas jau ir veikts ar Ministru kabineta 2015.gada 24.februāra noteikumiem Nr. 98 </w:t>
            </w:r>
            <w:r w:rsidR="00033B2C">
              <w:rPr>
                <w:rFonts w:ascii="Times New Roman" w:hAnsi="Times New Roman"/>
                <w:sz w:val="24"/>
                <w:szCs w:val="24"/>
              </w:rPr>
              <w:lastRenderedPageBreak/>
              <w:t>“</w:t>
            </w:r>
            <w:r w:rsidR="00AF285B">
              <w:rPr>
                <w:rFonts w:ascii="Times New Roman" w:hAnsi="Times New Roman"/>
                <w:sz w:val="24"/>
                <w:szCs w:val="24"/>
              </w:rPr>
              <w:t>G</w:t>
            </w:r>
            <w:r w:rsidRPr="00D8402C">
              <w:rPr>
                <w:rFonts w:ascii="Times New Roman" w:hAnsi="Times New Roman"/>
                <w:sz w:val="24"/>
                <w:szCs w:val="24"/>
              </w:rPr>
              <w:t xml:space="preserve">rozījumi Ministru kabineta 2009.gada 11.augusta noteikumos Nr.892 </w:t>
            </w:r>
            <w:r w:rsidR="00033B2C">
              <w:rPr>
                <w:rFonts w:ascii="Times New Roman" w:hAnsi="Times New Roman"/>
                <w:sz w:val="24"/>
                <w:szCs w:val="24"/>
              </w:rPr>
              <w:t>“</w:t>
            </w:r>
            <w:hyperlink r:id="rId9" w:tgtFrame="_blank" w:history="1">
              <w:r w:rsidRPr="00D8402C">
                <w:rPr>
                  <w:rFonts w:ascii="Times New Roman" w:hAnsi="Times New Roman"/>
                  <w:sz w:val="24"/>
                  <w:szCs w:val="24"/>
                </w:rPr>
                <w:t>Noteikumi par numerācijas lietošanas tiesību ikgadējo valsts nodevu</w:t>
              </w:r>
            </w:hyperlink>
            <w:r w:rsidR="00033B2C">
              <w:rPr>
                <w:rFonts w:ascii="Times New Roman" w:hAnsi="Times New Roman"/>
                <w:sz w:val="24"/>
                <w:szCs w:val="24"/>
              </w:rPr>
              <w:t>”</w:t>
            </w:r>
            <w:r w:rsidR="00AF285B">
              <w:rPr>
                <w:rFonts w:ascii="Times New Roman" w:hAnsi="Times New Roman"/>
                <w:sz w:val="24"/>
                <w:szCs w:val="24"/>
              </w:rPr>
              <w:t xml:space="preserve">, lai veicinātu </w:t>
            </w:r>
            <w:r w:rsidR="00AF285B" w:rsidRPr="00AF285B">
              <w:rPr>
                <w:rFonts w:ascii="Times New Roman" w:hAnsi="Times New Roman"/>
                <w:sz w:val="24"/>
                <w:szCs w:val="24"/>
              </w:rPr>
              <w:t>elektronisko sakaru nozares turpmāk</w:t>
            </w:r>
            <w:r w:rsidR="00033B2C">
              <w:rPr>
                <w:rFonts w:ascii="Times New Roman" w:hAnsi="Times New Roman"/>
                <w:sz w:val="24"/>
                <w:szCs w:val="24"/>
              </w:rPr>
              <w:t>o</w:t>
            </w:r>
            <w:r w:rsidR="00AF285B" w:rsidRPr="00AF285B">
              <w:rPr>
                <w:rFonts w:ascii="Times New Roman" w:hAnsi="Times New Roman"/>
                <w:sz w:val="24"/>
                <w:szCs w:val="24"/>
              </w:rPr>
              <w:t xml:space="preserve"> attīstīb</w:t>
            </w:r>
            <w:r w:rsidR="00033B2C">
              <w:rPr>
                <w:rFonts w:ascii="Times New Roman" w:hAnsi="Times New Roman"/>
                <w:sz w:val="24"/>
                <w:szCs w:val="24"/>
              </w:rPr>
              <w:t>u</w:t>
            </w:r>
            <w:r w:rsidR="00AF285B" w:rsidRPr="00AF285B">
              <w:rPr>
                <w:rFonts w:ascii="Times New Roman" w:hAnsi="Times New Roman"/>
                <w:sz w:val="24"/>
                <w:szCs w:val="24"/>
              </w:rPr>
              <w:t xml:space="preserve"> operatoru izvēles pakalpojumu sniegšanā, kā arī uzziņu dienestu pakalpojumu sniegšanā.</w:t>
            </w:r>
            <w:r w:rsidR="00AF285B">
              <w:rPr>
                <w:rFonts w:ascii="Times New Roman" w:hAnsi="Times New Roman"/>
                <w:sz w:val="24"/>
                <w:szCs w:val="24"/>
              </w:rPr>
              <w:t xml:space="preserve"> </w:t>
            </w:r>
            <w:r w:rsidR="00853FB1">
              <w:rPr>
                <w:rFonts w:ascii="Times New Roman" w:hAnsi="Times New Roman"/>
                <w:sz w:val="24"/>
                <w:szCs w:val="24"/>
              </w:rPr>
              <w:t>Lai veicinātu elektronisko sakaru pakalpojumu attīstību un to pieprasījumu</w:t>
            </w:r>
            <w:r w:rsidR="005C7B5C">
              <w:rPr>
                <w:rFonts w:ascii="Times New Roman" w:hAnsi="Times New Roman"/>
                <w:sz w:val="24"/>
                <w:szCs w:val="24"/>
              </w:rPr>
              <w:t>,</w:t>
            </w:r>
            <w:r w:rsidR="00853FB1" w:rsidRPr="002728F7">
              <w:rPr>
                <w:rFonts w:ascii="Times New Roman" w:hAnsi="Times New Roman"/>
                <w:sz w:val="24"/>
                <w:szCs w:val="24"/>
              </w:rPr>
              <w:t xml:space="preserve"> </w:t>
            </w:r>
            <w:r w:rsidR="000568DD">
              <w:rPr>
                <w:rFonts w:ascii="Times New Roman" w:hAnsi="Times New Roman"/>
                <w:sz w:val="24"/>
                <w:szCs w:val="24"/>
              </w:rPr>
              <w:t xml:space="preserve">arī </w:t>
            </w:r>
            <w:r w:rsidR="00AF285B" w:rsidRPr="002728F7">
              <w:rPr>
                <w:rFonts w:ascii="Times New Roman" w:hAnsi="Times New Roman"/>
                <w:sz w:val="24"/>
                <w:szCs w:val="24"/>
              </w:rPr>
              <w:t>Noteikumu projekta ietvarā ir pārskatīti minētie rādītāji un noteikti mazāki kā Noteikumos Nr.892, tādējādi līdzsvarojot Nodevas ietekmi uz elektronisko sakaru komersanta maksājumiem un Nodevas ieviešanas sagaidāmo rezultātu.</w:t>
            </w:r>
          </w:p>
          <w:p w14:paraId="68168C7C" w14:textId="77777777" w:rsidR="009C5617" w:rsidRPr="009B03E3" w:rsidRDefault="007C1307" w:rsidP="009C5617">
            <w:pPr>
              <w:spacing w:after="0" w:line="240" w:lineRule="auto"/>
              <w:jc w:val="both"/>
              <w:rPr>
                <w:rFonts w:ascii="Times New Roman" w:hAnsi="Times New Roman"/>
                <w:sz w:val="24"/>
                <w:szCs w:val="24"/>
              </w:rPr>
            </w:pPr>
            <w:r w:rsidRPr="009B03E3">
              <w:rPr>
                <w:rFonts w:ascii="Times New Roman" w:hAnsi="Times New Roman"/>
                <w:sz w:val="24"/>
                <w:szCs w:val="24"/>
              </w:rPr>
              <w:t>Noteikumu projekts paredz a</w:t>
            </w:r>
            <w:r w:rsidR="009C5617" w:rsidRPr="009B03E3">
              <w:rPr>
                <w:rFonts w:ascii="Times New Roman" w:hAnsi="Times New Roman"/>
                <w:sz w:val="24"/>
                <w:szCs w:val="24"/>
              </w:rPr>
              <w:t>tbrīvojum</w:t>
            </w:r>
            <w:r w:rsidRPr="009B03E3">
              <w:rPr>
                <w:rFonts w:ascii="Times New Roman" w:hAnsi="Times New Roman"/>
                <w:sz w:val="24"/>
                <w:szCs w:val="24"/>
              </w:rPr>
              <w:t>u</w:t>
            </w:r>
            <w:r w:rsidR="009C5617" w:rsidRPr="009B03E3">
              <w:rPr>
                <w:rFonts w:ascii="Times New Roman" w:hAnsi="Times New Roman"/>
                <w:sz w:val="24"/>
                <w:szCs w:val="24"/>
              </w:rPr>
              <w:t xml:space="preserve"> no Nodevas maksāšanas elektronisko sakaru komersantam, ja tas numerācijas lietošanas tiesības ir ieguvis izsolē,</w:t>
            </w:r>
            <w:r w:rsidRPr="009B03E3">
              <w:rPr>
                <w:rFonts w:ascii="Times New Roman" w:hAnsi="Times New Roman"/>
                <w:sz w:val="24"/>
                <w:szCs w:val="24"/>
              </w:rPr>
              <w:t xml:space="preserve"> tādejādi </w:t>
            </w:r>
            <w:r w:rsidR="00930D16" w:rsidRPr="009B03E3">
              <w:rPr>
                <w:rFonts w:ascii="Times New Roman" w:hAnsi="Times New Roman"/>
                <w:sz w:val="24"/>
                <w:szCs w:val="24"/>
              </w:rPr>
              <w:t xml:space="preserve">jau </w:t>
            </w:r>
            <w:r w:rsidR="009C5617" w:rsidRPr="009B03E3">
              <w:rPr>
                <w:rFonts w:ascii="Times New Roman" w:hAnsi="Times New Roman"/>
                <w:sz w:val="24"/>
                <w:szCs w:val="24"/>
              </w:rPr>
              <w:t>samaksāj</w:t>
            </w:r>
            <w:r w:rsidRPr="009B03E3">
              <w:rPr>
                <w:rFonts w:ascii="Times New Roman" w:hAnsi="Times New Roman"/>
                <w:sz w:val="24"/>
                <w:szCs w:val="24"/>
              </w:rPr>
              <w:t>ot</w:t>
            </w:r>
            <w:r w:rsidR="009C5617" w:rsidRPr="009B03E3">
              <w:rPr>
                <w:rFonts w:ascii="Times New Roman" w:hAnsi="Times New Roman"/>
                <w:sz w:val="24"/>
                <w:szCs w:val="24"/>
              </w:rPr>
              <w:t xml:space="preserve"> par šo tiesību iegūšanu. </w:t>
            </w:r>
            <w:r w:rsidRPr="009B03E3">
              <w:rPr>
                <w:rFonts w:ascii="Times New Roman" w:hAnsi="Times New Roman"/>
                <w:sz w:val="24"/>
                <w:szCs w:val="24"/>
              </w:rPr>
              <w:t>Uz Noteikumu projekta izstrādes brīdi nevienam</w:t>
            </w:r>
            <w:r w:rsidR="009C5617" w:rsidRPr="009B03E3">
              <w:rPr>
                <w:rFonts w:ascii="Times New Roman" w:hAnsi="Times New Roman"/>
                <w:sz w:val="24"/>
                <w:szCs w:val="24"/>
              </w:rPr>
              <w:t xml:space="preserve"> elektronisko sakaru komersantam nav piešķirtas numerācija</w:t>
            </w:r>
            <w:r w:rsidR="002728F7">
              <w:rPr>
                <w:rFonts w:ascii="Times New Roman" w:hAnsi="Times New Roman"/>
                <w:sz w:val="24"/>
                <w:szCs w:val="24"/>
              </w:rPr>
              <w:t>s</w:t>
            </w:r>
            <w:r w:rsidR="009C5617" w:rsidRPr="009B03E3">
              <w:rPr>
                <w:rFonts w:ascii="Times New Roman" w:hAnsi="Times New Roman"/>
                <w:sz w:val="24"/>
                <w:szCs w:val="24"/>
              </w:rPr>
              <w:t xml:space="preserve"> lietošanas tiesības, kas iegūtas izsolē. </w:t>
            </w:r>
            <w:r w:rsidR="00930D16" w:rsidRPr="009B03E3">
              <w:rPr>
                <w:rFonts w:ascii="Times New Roman" w:hAnsi="Times New Roman"/>
                <w:sz w:val="24"/>
                <w:szCs w:val="24"/>
              </w:rPr>
              <w:t>Tāpat Noteikumu projekts paredz, ka n</w:t>
            </w:r>
            <w:r w:rsidR="009C5617" w:rsidRPr="009B03E3">
              <w:rPr>
                <w:rFonts w:ascii="Times New Roman" w:hAnsi="Times New Roman"/>
                <w:sz w:val="24"/>
                <w:szCs w:val="24"/>
              </w:rPr>
              <w:t xml:space="preserve">o </w:t>
            </w:r>
            <w:r w:rsidR="00930D16" w:rsidRPr="009B03E3">
              <w:rPr>
                <w:rFonts w:ascii="Times New Roman" w:hAnsi="Times New Roman"/>
                <w:sz w:val="24"/>
                <w:szCs w:val="24"/>
              </w:rPr>
              <w:t>N</w:t>
            </w:r>
            <w:r w:rsidR="009C5617" w:rsidRPr="009B03E3">
              <w:rPr>
                <w:rFonts w:ascii="Times New Roman" w:hAnsi="Times New Roman"/>
                <w:sz w:val="24"/>
                <w:szCs w:val="24"/>
              </w:rPr>
              <w:t xml:space="preserve">odevas maksājumiem uz </w:t>
            </w:r>
            <w:r w:rsidR="005E095F">
              <w:rPr>
                <w:rFonts w:ascii="Times New Roman" w:hAnsi="Times New Roman"/>
                <w:sz w:val="24"/>
                <w:szCs w:val="24"/>
              </w:rPr>
              <w:t>sešiem</w:t>
            </w:r>
            <w:r w:rsidR="005E095F" w:rsidRPr="009B03E3">
              <w:rPr>
                <w:rFonts w:ascii="Times New Roman" w:hAnsi="Times New Roman"/>
                <w:sz w:val="24"/>
                <w:szCs w:val="24"/>
              </w:rPr>
              <w:t xml:space="preserve"> </w:t>
            </w:r>
            <w:r w:rsidR="009C5617" w:rsidRPr="009B03E3">
              <w:rPr>
                <w:rFonts w:ascii="Times New Roman" w:hAnsi="Times New Roman"/>
                <w:sz w:val="24"/>
                <w:szCs w:val="24"/>
              </w:rPr>
              <w:t xml:space="preserve">mēnešiem par neizmantotajiem numuriem ir atbrīvots elektronisko sakaru komersants, kuram numerācijas lietošanas tiesības ir piešķirtas </w:t>
            </w:r>
            <w:r w:rsidR="009C5617" w:rsidRPr="00576918">
              <w:rPr>
                <w:rFonts w:ascii="Times New Roman" w:hAnsi="Times New Roman"/>
                <w:sz w:val="24"/>
                <w:szCs w:val="24"/>
              </w:rPr>
              <w:t xml:space="preserve">pēc </w:t>
            </w:r>
            <w:r w:rsidR="00815593" w:rsidRPr="00576918">
              <w:rPr>
                <w:rFonts w:ascii="Times New Roman" w:hAnsi="Times New Roman"/>
                <w:sz w:val="24"/>
                <w:szCs w:val="24"/>
              </w:rPr>
              <w:t xml:space="preserve">Sabiedrisko pakalpojumu regulēšanas komisijas </w:t>
            </w:r>
            <w:r w:rsidR="009C5617" w:rsidRPr="00576918">
              <w:rPr>
                <w:rFonts w:ascii="Times New Roman" w:hAnsi="Times New Roman"/>
                <w:sz w:val="24"/>
                <w:szCs w:val="24"/>
              </w:rPr>
              <w:t>iniciatīvas</w:t>
            </w:r>
            <w:r w:rsidR="002728F7" w:rsidRPr="00576918">
              <w:rPr>
                <w:rFonts w:ascii="Times New Roman" w:hAnsi="Times New Roman"/>
                <w:sz w:val="24"/>
                <w:szCs w:val="24"/>
              </w:rPr>
              <w:t>, t</w:t>
            </w:r>
            <w:r w:rsidR="002728F7">
              <w:rPr>
                <w:rFonts w:ascii="Times New Roman" w:hAnsi="Times New Roman"/>
                <w:sz w:val="24"/>
                <w:szCs w:val="24"/>
              </w:rPr>
              <w:t xml:space="preserve">as ir, gadījumos, kad </w:t>
            </w:r>
            <w:r w:rsidR="00D622C1" w:rsidRPr="00576918">
              <w:rPr>
                <w:rFonts w:ascii="Times New Roman" w:hAnsi="Times New Roman"/>
                <w:sz w:val="24"/>
                <w:szCs w:val="24"/>
              </w:rPr>
              <w:t>Sabiedrisko pakalpojumu regulēšanas komisija</w:t>
            </w:r>
            <w:r w:rsidR="00D622C1">
              <w:rPr>
                <w:rFonts w:ascii="Times New Roman" w:hAnsi="Times New Roman"/>
                <w:sz w:val="24"/>
                <w:szCs w:val="24"/>
              </w:rPr>
              <w:t>,</w:t>
            </w:r>
            <w:r w:rsidR="002728F7">
              <w:rPr>
                <w:rFonts w:ascii="Times New Roman" w:hAnsi="Times New Roman"/>
                <w:sz w:val="24"/>
                <w:szCs w:val="24"/>
              </w:rPr>
              <w:t xml:space="preserve"> </w:t>
            </w:r>
            <w:r w:rsidR="002728F7" w:rsidRPr="002728F7">
              <w:rPr>
                <w:rFonts w:ascii="Times New Roman" w:hAnsi="Times New Roman"/>
                <w:sz w:val="24"/>
                <w:szCs w:val="24"/>
              </w:rPr>
              <w:t xml:space="preserve">anulējot numerācijas lietošanas tiesības, konstatē, ka kādu no nacionālajiem numuriem izmanto numura saglabāšanas pakalpojuma kārtībā cita </w:t>
            </w:r>
            <w:r w:rsidR="002728F7" w:rsidRPr="009B03E3">
              <w:rPr>
                <w:rFonts w:ascii="Times New Roman" w:hAnsi="Times New Roman"/>
                <w:sz w:val="24"/>
                <w:szCs w:val="24"/>
              </w:rPr>
              <w:t xml:space="preserve">elektronisko sakaru </w:t>
            </w:r>
            <w:r w:rsidR="002728F7" w:rsidRPr="002728F7">
              <w:rPr>
                <w:rFonts w:ascii="Times New Roman" w:hAnsi="Times New Roman"/>
                <w:sz w:val="24"/>
                <w:szCs w:val="24"/>
              </w:rPr>
              <w:t>komersanta publisko elektronisko sakaru tīklā</w:t>
            </w:r>
            <w:r w:rsidR="002728F7">
              <w:rPr>
                <w:rFonts w:ascii="Times New Roman" w:hAnsi="Times New Roman"/>
                <w:sz w:val="24"/>
                <w:szCs w:val="24"/>
              </w:rPr>
              <w:t>.</w:t>
            </w:r>
            <w:r w:rsidR="002728F7" w:rsidRPr="002728F7">
              <w:rPr>
                <w:rFonts w:ascii="Times New Roman" w:hAnsi="Times New Roman"/>
                <w:sz w:val="24"/>
                <w:szCs w:val="24"/>
              </w:rPr>
              <w:t xml:space="preserve"> </w:t>
            </w:r>
            <w:r w:rsidR="009C5617" w:rsidRPr="00AF5D54">
              <w:rPr>
                <w:rFonts w:ascii="Times New Roman" w:hAnsi="Times New Roman"/>
                <w:sz w:val="24"/>
                <w:szCs w:val="24"/>
              </w:rPr>
              <w:t>Elektronisko</w:t>
            </w:r>
            <w:r w:rsidR="009C5617" w:rsidRPr="009B03E3">
              <w:rPr>
                <w:rFonts w:ascii="Times New Roman" w:hAnsi="Times New Roman"/>
                <w:sz w:val="24"/>
                <w:szCs w:val="24"/>
              </w:rPr>
              <w:t xml:space="preserve"> sakaru komersanti maksā Nodevu reizi ceturksnī, līdz ar to </w:t>
            </w:r>
            <w:r w:rsidRPr="009B03E3">
              <w:rPr>
                <w:rFonts w:ascii="Times New Roman" w:hAnsi="Times New Roman"/>
                <w:sz w:val="24"/>
                <w:szCs w:val="24"/>
              </w:rPr>
              <w:t>iepriekšminētais</w:t>
            </w:r>
            <w:r w:rsidR="009C5617" w:rsidRPr="009B03E3">
              <w:rPr>
                <w:rFonts w:ascii="Times New Roman" w:hAnsi="Times New Roman"/>
                <w:sz w:val="24"/>
                <w:szCs w:val="24"/>
              </w:rPr>
              <w:t xml:space="preserve"> elektronisko sakaru komersants ir atbrīvots no </w:t>
            </w:r>
            <w:r w:rsidR="005E095F">
              <w:rPr>
                <w:rFonts w:ascii="Times New Roman" w:hAnsi="Times New Roman"/>
                <w:sz w:val="24"/>
                <w:szCs w:val="24"/>
              </w:rPr>
              <w:t>diviem</w:t>
            </w:r>
            <w:r w:rsidR="005E095F" w:rsidRPr="009B03E3">
              <w:rPr>
                <w:rFonts w:ascii="Times New Roman" w:hAnsi="Times New Roman"/>
                <w:sz w:val="24"/>
                <w:szCs w:val="24"/>
              </w:rPr>
              <w:t xml:space="preserve"> </w:t>
            </w:r>
            <w:r w:rsidR="009C5617" w:rsidRPr="009B03E3">
              <w:rPr>
                <w:rFonts w:ascii="Times New Roman" w:hAnsi="Times New Roman"/>
                <w:sz w:val="24"/>
                <w:szCs w:val="24"/>
              </w:rPr>
              <w:t>maksājum</w:t>
            </w:r>
            <w:r w:rsidR="005E095F">
              <w:rPr>
                <w:rFonts w:ascii="Times New Roman" w:hAnsi="Times New Roman"/>
                <w:sz w:val="24"/>
                <w:szCs w:val="24"/>
              </w:rPr>
              <w:t>iem</w:t>
            </w:r>
            <w:r w:rsidR="009C5617" w:rsidRPr="009B03E3">
              <w:rPr>
                <w:rFonts w:ascii="Times New Roman" w:hAnsi="Times New Roman"/>
                <w:sz w:val="24"/>
                <w:szCs w:val="24"/>
              </w:rPr>
              <w:t xml:space="preserve">. </w:t>
            </w:r>
            <w:r w:rsidR="005E095F">
              <w:rPr>
                <w:rFonts w:ascii="Times New Roman" w:hAnsi="Times New Roman"/>
                <w:sz w:val="24"/>
                <w:szCs w:val="24"/>
              </w:rPr>
              <w:t>Seši</w:t>
            </w:r>
            <w:r w:rsidR="005E095F" w:rsidRPr="009B03E3">
              <w:rPr>
                <w:rFonts w:ascii="Times New Roman" w:hAnsi="Times New Roman"/>
                <w:sz w:val="24"/>
                <w:szCs w:val="24"/>
              </w:rPr>
              <w:t xml:space="preserve"> </w:t>
            </w:r>
            <w:r w:rsidR="009C5617" w:rsidRPr="009B03E3">
              <w:rPr>
                <w:rFonts w:ascii="Times New Roman" w:hAnsi="Times New Roman"/>
                <w:sz w:val="24"/>
                <w:szCs w:val="24"/>
              </w:rPr>
              <w:t xml:space="preserve">mēneši ir </w:t>
            </w:r>
            <w:r w:rsidR="00DE677E">
              <w:rPr>
                <w:rFonts w:ascii="Times New Roman" w:hAnsi="Times New Roman"/>
                <w:sz w:val="24"/>
                <w:szCs w:val="24"/>
              </w:rPr>
              <w:t xml:space="preserve">vērtējams kā </w:t>
            </w:r>
            <w:r w:rsidR="009C5617" w:rsidRPr="009B03E3">
              <w:rPr>
                <w:rFonts w:ascii="Times New Roman" w:hAnsi="Times New Roman"/>
                <w:sz w:val="24"/>
                <w:szCs w:val="24"/>
              </w:rPr>
              <w:t xml:space="preserve">pietiekams laika periods, lai elektronisko sakaru komersants varētu saplānot savu darbību saistībā ar piešķirtajām numerācijas lietošanas tiesībām – tās izmantot vai atteikties no tām. </w:t>
            </w:r>
          </w:p>
          <w:p w14:paraId="44186243" w14:textId="77777777" w:rsidR="009C5617" w:rsidRPr="009B03E3" w:rsidRDefault="009C5617" w:rsidP="00C4454C">
            <w:pPr>
              <w:spacing w:after="0" w:line="240" w:lineRule="auto"/>
              <w:jc w:val="both"/>
              <w:rPr>
                <w:rFonts w:ascii="Times New Roman" w:eastAsia="Times New Roman" w:hAnsi="Times New Roman"/>
                <w:sz w:val="24"/>
                <w:szCs w:val="24"/>
              </w:rPr>
            </w:pPr>
            <w:r w:rsidRPr="009B03E3">
              <w:rPr>
                <w:rFonts w:ascii="Times New Roman" w:hAnsi="Times New Roman"/>
                <w:sz w:val="24"/>
                <w:szCs w:val="24"/>
              </w:rPr>
              <w:t>Noteikumu projekt</w:t>
            </w:r>
            <w:r w:rsidR="00930D16" w:rsidRPr="009B03E3">
              <w:rPr>
                <w:rFonts w:ascii="Times New Roman" w:hAnsi="Times New Roman"/>
                <w:sz w:val="24"/>
                <w:szCs w:val="24"/>
              </w:rPr>
              <w:t>s paredz</w:t>
            </w:r>
            <w:r w:rsidRPr="009B03E3">
              <w:rPr>
                <w:rFonts w:ascii="Times New Roman" w:hAnsi="Times New Roman"/>
                <w:sz w:val="24"/>
                <w:szCs w:val="24"/>
              </w:rPr>
              <w:t xml:space="preserve">, ka Nodeva nav jāmaksā par starptautisko signalizācijas punktu kodu, jo šis resurss nav Latvijas </w:t>
            </w:r>
            <w:r w:rsidR="005E095F">
              <w:rPr>
                <w:rFonts w:ascii="Times New Roman" w:hAnsi="Times New Roman"/>
                <w:sz w:val="24"/>
                <w:szCs w:val="24"/>
              </w:rPr>
              <w:t xml:space="preserve">Republikas </w:t>
            </w:r>
            <w:r w:rsidRPr="009B03E3">
              <w:rPr>
                <w:rFonts w:ascii="Times New Roman" w:hAnsi="Times New Roman"/>
                <w:sz w:val="24"/>
                <w:szCs w:val="24"/>
              </w:rPr>
              <w:t xml:space="preserve">ierobežotais resurss. </w:t>
            </w:r>
          </w:p>
          <w:p w14:paraId="767E8FC9" w14:textId="77777777" w:rsidR="00ED0980" w:rsidRDefault="009C5617" w:rsidP="00C4454C">
            <w:pPr>
              <w:spacing w:after="0" w:line="240" w:lineRule="auto"/>
              <w:jc w:val="both"/>
              <w:rPr>
                <w:rFonts w:ascii="Times New Roman" w:hAnsi="Times New Roman"/>
                <w:sz w:val="24"/>
                <w:szCs w:val="24"/>
              </w:rPr>
            </w:pPr>
            <w:r w:rsidRPr="009B03E3">
              <w:rPr>
                <w:rFonts w:ascii="Times New Roman" w:hAnsi="Times New Roman"/>
                <w:sz w:val="24"/>
                <w:szCs w:val="24"/>
              </w:rPr>
              <w:t>Noteikumu projekt</w:t>
            </w:r>
            <w:r w:rsidR="00CC60FD" w:rsidRPr="009B03E3">
              <w:rPr>
                <w:rFonts w:ascii="Times New Roman" w:hAnsi="Times New Roman"/>
                <w:sz w:val="24"/>
                <w:szCs w:val="24"/>
              </w:rPr>
              <w:t xml:space="preserve">s, atbilstoši Ministru kabineta 2020.gada 26.maija sēdes </w:t>
            </w:r>
            <w:proofErr w:type="spellStart"/>
            <w:r w:rsidR="00CC60FD" w:rsidRPr="009B03E3">
              <w:rPr>
                <w:rFonts w:ascii="Times New Roman" w:hAnsi="Times New Roman"/>
                <w:sz w:val="24"/>
                <w:szCs w:val="24"/>
              </w:rPr>
              <w:t>protokollēmuma</w:t>
            </w:r>
            <w:proofErr w:type="spellEnd"/>
            <w:r w:rsidR="00CC60FD" w:rsidRPr="009B03E3">
              <w:rPr>
                <w:rFonts w:ascii="Times New Roman" w:hAnsi="Times New Roman"/>
                <w:sz w:val="24"/>
                <w:szCs w:val="24"/>
              </w:rPr>
              <w:t xml:space="preserve"> (</w:t>
            </w:r>
            <w:proofErr w:type="spellStart"/>
            <w:r w:rsidR="00CC60FD" w:rsidRPr="009B03E3">
              <w:rPr>
                <w:rFonts w:ascii="Times New Roman" w:hAnsi="Times New Roman"/>
                <w:sz w:val="24"/>
                <w:szCs w:val="24"/>
              </w:rPr>
              <w:t>prot.Nr</w:t>
            </w:r>
            <w:proofErr w:type="spellEnd"/>
            <w:r w:rsidR="00CC60FD" w:rsidRPr="009B03E3">
              <w:rPr>
                <w:rFonts w:ascii="Times New Roman" w:hAnsi="Times New Roman"/>
                <w:sz w:val="24"/>
                <w:szCs w:val="24"/>
              </w:rPr>
              <w:t>. 36 25.§) 2.punktam,</w:t>
            </w:r>
            <w:r w:rsidRPr="009B03E3">
              <w:rPr>
                <w:rFonts w:ascii="Times New Roman" w:hAnsi="Times New Roman"/>
                <w:sz w:val="24"/>
                <w:szCs w:val="24"/>
              </w:rPr>
              <w:t xml:space="preserve"> paredz, ka </w:t>
            </w:r>
            <w:r w:rsidR="00CC60FD" w:rsidRPr="009B03E3">
              <w:rPr>
                <w:rFonts w:ascii="Times New Roman" w:hAnsi="Times New Roman"/>
                <w:sz w:val="24"/>
                <w:szCs w:val="24"/>
              </w:rPr>
              <w:t xml:space="preserve">no 2021.gada 1.janvāra Nodevu piemēro pakalpojuma numuriem un </w:t>
            </w:r>
            <w:proofErr w:type="spellStart"/>
            <w:r w:rsidR="00CC60FD" w:rsidRPr="009B03E3">
              <w:rPr>
                <w:rFonts w:ascii="Times New Roman" w:hAnsi="Times New Roman"/>
                <w:sz w:val="24"/>
                <w:szCs w:val="24"/>
              </w:rPr>
              <w:t>IoT</w:t>
            </w:r>
            <w:proofErr w:type="spellEnd"/>
            <w:r w:rsidR="00CC60FD" w:rsidRPr="009B03E3">
              <w:rPr>
                <w:rFonts w:ascii="Times New Roman" w:hAnsi="Times New Roman"/>
                <w:sz w:val="24"/>
                <w:szCs w:val="24"/>
              </w:rPr>
              <w:t xml:space="preserve">/M2M numuriem, bet no 2022.gada 1.janvāra - nacionālajiem numuriem (publiskā fiksētā </w:t>
            </w:r>
            <w:r w:rsidR="00217893" w:rsidRPr="009B03E3">
              <w:rPr>
                <w:rFonts w:ascii="Times New Roman" w:hAnsi="Times New Roman"/>
                <w:sz w:val="24"/>
                <w:szCs w:val="24"/>
              </w:rPr>
              <w:t xml:space="preserve">telefonu tīkla numuriem </w:t>
            </w:r>
            <w:r w:rsidR="00CC60FD" w:rsidRPr="009B03E3">
              <w:rPr>
                <w:rFonts w:ascii="Times New Roman" w:hAnsi="Times New Roman"/>
                <w:sz w:val="24"/>
                <w:szCs w:val="24"/>
              </w:rPr>
              <w:t xml:space="preserve">un publiskā mobilā telefonu tīkla numuriem). </w:t>
            </w:r>
          </w:p>
          <w:p w14:paraId="705EFDFD" w14:textId="77777777" w:rsidR="00AE7691" w:rsidRPr="005C7B5C" w:rsidRDefault="00FB158C" w:rsidP="00C4454C">
            <w:pPr>
              <w:spacing w:after="0" w:line="240" w:lineRule="auto"/>
              <w:jc w:val="both"/>
              <w:rPr>
                <w:rFonts w:ascii="Times New Roman" w:hAnsi="Times New Roman"/>
                <w:sz w:val="24"/>
                <w:szCs w:val="24"/>
              </w:rPr>
            </w:pPr>
            <w:r w:rsidRPr="00F26769">
              <w:rPr>
                <w:rFonts w:ascii="Times New Roman" w:hAnsi="Times New Roman"/>
                <w:sz w:val="24"/>
                <w:szCs w:val="24"/>
              </w:rPr>
              <w:t xml:space="preserve">No </w:t>
            </w:r>
            <w:r w:rsidR="00F26769">
              <w:rPr>
                <w:rFonts w:ascii="Times New Roman" w:hAnsi="Times New Roman"/>
                <w:sz w:val="24"/>
                <w:szCs w:val="24"/>
              </w:rPr>
              <w:t>i</w:t>
            </w:r>
            <w:r w:rsidR="003F141F" w:rsidRPr="00F26769">
              <w:rPr>
                <w:rFonts w:ascii="Times New Roman" w:hAnsi="Times New Roman"/>
                <w:sz w:val="24"/>
                <w:szCs w:val="24"/>
              </w:rPr>
              <w:t>nformatīvā ziņojuma</w:t>
            </w:r>
            <w:r w:rsidRPr="00F26769">
              <w:rPr>
                <w:rFonts w:ascii="Times New Roman" w:hAnsi="Times New Roman"/>
                <w:sz w:val="24"/>
                <w:szCs w:val="24"/>
              </w:rPr>
              <w:t xml:space="preserve"> izriet, ka Nodeva </w:t>
            </w:r>
            <w:r w:rsidR="00C32E2E">
              <w:rPr>
                <w:rFonts w:ascii="Times New Roman" w:hAnsi="Times New Roman"/>
                <w:sz w:val="24"/>
                <w:szCs w:val="24"/>
              </w:rPr>
              <w:t xml:space="preserve">ir jāievieš visai numerācijai, kas ir noteikta Nacionālajā numerācijas plānā, </w:t>
            </w:r>
            <w:r w:rsidRPr="00F26769">
              <w:rPr>
                <w:rFonts w:ascii="Times New Roman" w:hAnsi="Times New Roman"/>
                <w:sz w:val="24"/>
                <w:szCs w:val="24"/>
              </w:rPr>
              <w:t xml:space="preserve">izņemot </w:t>
            </w:r>
            <w:r w:rsidRPr="00C32E2E">
              <w:rPr>
                <w:rFonts w:ascii="Times New Roman" w:hAnsi="Times New Roman"/>
                <w:sz w:val="24"/>
                <w:szCs w:val="24"/>
              </w:rPr>
              <w:t>starptautisko signalizācijas punktu kodu</w:t>
            </w:r>
            <w:r w:rsidRPr="00F26769">
              <w:rPr>
                <w:rFonts w:ascii="Times New Roman" w:hAnsi="Times New Roman"/>
                <w:sz w:val="24"/>
                <w:szCs w:val="24"/>
              </w:rPr>
              <w:t xml:space="preserve">, </w:t>
            </w:r>
            <w:r w:rsidR="00C32E2E">
              <w:rPr>
                <w:rFonts w:ascii="Times New Roman" w:hAnsi="Times New Roman"/>
                <w:sz w:val="24"/>
                <w:szCs w:val="24"/>
              </w:rPr>
              <w:t xml:space="preserve">kas nav Latvijas </w:t>
            </w:r>
            <w:r w:rsidR="005C7B5C">
              <w:rPr>
                <w:rFonts w:ascii="Times New Roman" w:hAnsi="Times New Roman"/>
                <w:sz w:val="24"/>
                <w:szCs w:val="24"/>
              </w:rPr>
              <w:t>R</w:t>
            </w:r>
            <w:r w:rsidR="00C32E2E">
              <w:rPr>
                <w:rFonts w:ascii="Times New Roman" w:hAnsi="Times New Roman"/>
                <w:sz w:val="24"/>
                <w:szCs w:val="24"/>
              </w:rPr>
              <w:t xml:space="preserve">epublikas nacionālais ierobežotais resurss. </w:t>
            </w:r>
            <w:r w:rsidR="005C7B5C">
              <w:rPr>
                <w:rFonts w:ascii="Times New Roman" w:hAnsi="Times New Roman"/>
                <w:sz w:val="24"/>
                <w:szCs w:val="24"/>
              </w:rPr>
              <w:t xml:space="preserve">Līdz ar to Noteikumu projektā ir jāparedz, </w:t>
            </w:r>
            <w:r w:rsidRPr="00C32E2E">
              <w:rPr>
                <w:rFonts w:ascii="Times New Roman" w:hAnsi="Times New Roman"/>
                <w:sz w:val="24"/>
                <w:szCs w:val="24"/>
              </w:rPr>
              <w:t xml:space="preserve">ka no 2021.gada 1.janvāra Nodevu piemēro </w:t>
            </w:r>
            <w:r w:rsidR="005C7B5C">
              <w:rPr>
                <w:rFonts w:ascii="Times New Roman" w:hAnsi="Times New Roman"/>
                <w:sz w:val="24"/>
                <w:szCs w:val="24"/>
              </w:rPr>
              <w:t xml:space="preserve">arī </w:t>
            </w:r>
            <w:r w:rsidRPr="00C32E2E">
              <w:rPr>
                <w:rFonts w:ascii="Times New Roman" w:hAnsi="Times New Roman"/>
                <w:sz w:val="24"/>
                <w:szCs w:val="24"/>
              </w:rPr>
              <w:t>identifikācijas kodiem, izņemot starptautisk</w:t>
            </w:r>
            <w:r w:rsidR="00F26769">
              <w:rPr>
                <w:rFonts w:ascii="Times New Roman" w:hAnsi="Times New Roman"/>
                <w:sz w:val="24"/>
                <w:szCs w:val="24"/>
              </w:rPr>
              <w:t>ajam</w:t>
            </w:r>
            <w:r w:rsidRPr="00F26769">
              <w:rPr>
                <w:rFonts w:ascii="Times New Roman" w:hAnsi="Times New Roman"/>
                <w:sz w:val="24"/>
                <w:szCs w:val="24"/>
              </w:rPr>
              <w:t xml:space="preserve"> signalizācijas punktu kod</w:t>
            </w:r>
            <w:r w:rsidR="00F26769">
              <w:rPr>
                <w:rFonts w:ascii="Times New Roman" w:hAnsi="Times New Roman"/>
                <w:sz w:val="24"/>
                <w:szCs w:val="24"/>
              </w:rPr>
              <w:t>am</w:t>
            </w:r>
            <w:r w:rsidRPr="00F26769">
              <w:rPr>
                <w:rFonts w:ascii="Times New Roman" w:hAnsi="Times New Roman"/>
                <w:sz w:val="24"/>
                <w:szCs w:val="24"/>
              </w:rPr>
              <w:t>.</w:t>
            </w:r>
          </w:p>
        </w:tc>
      </w:tr>
      <w:tr w:rsidR="009B03E3" w:rsidRPr="009B03E3" w14:paraId="409246AF" w14:textId="77777777" w:rsidTr="00594580">
        <w:tc>
          <w:tcPr>
            <w:tcW w:w="279" w:type="pct"/>
            <w:tcBorders>
              <w:top w:val="outset" w:sz="6" w:space="0" w:color="414142"/>
              <w:left w:val="outset" w:sz="6" w:space="0" w:color="414142"/>
              <w:bottom w:val="outset" w:sz="6" w:space="0" w:color="414142"/>
              <w:right w:val="outset" w:sz="6" w:space="0" w:color="414142"/>
            </w:tcBorders>
            <w:hideMark/>
          </w:tcPr>
          <w:p w14:paraId="28342219" w14:textId="77777777" w:rsidR="005F3B40" w:rsidRPr="009B03E3" w:rsidRDefault="005F3B40" w:rsidP="003465C6">
            <w:pPr>
              <w:spacing w:after="0" w:line="240" w:lineRule="auto"/>
              <w:rPr>
                <w:rFonts w:ascii="Times New Roman" w:hAnsi="Times New Roman"/>
                <w:sz w:val="24"/>
                <w:szCs w:val="24"/>
              </w:rPr>
            </w:pPr>
          </w:p>
        </w:tc>
        <w:tc>
          <w:tcPr>
            <w:tcW w:w="989" w:type="pct"/>
            <w:tcBorders>
              <w:top w:val="outset" w:sz="6" w:space="0" w:color="414142"/>
              <w:left w:val="outset" w:sz="6" w:space="0" w:color="414142"/>
              <w:bottom w:val="outset" w:sz="6" w:space="0" w:color="414142"/>
              <w:right w:val="outset" w:sz="6" w:space="0" w:color="414142"/>
            </w:tcBorders>
            <w:hideMark/>
          </w:tcPr>
          <w:p w14:paraId="730CD1BA" w14:textId="77777777" w:rsidR="005F3B40" w:rsidRPr="009B03E3" w:rsidRDefault="005F3B40" w:rsidP="003465C6">
            <w:pPr>
              <w:spacing w:after="0" w:line="240" w:lineRule="auto"/>
              <w:rPr>
                <w:rFonts w:ascii="Times New Roman" w:hAnsi="Times New Roman"/>
                <w:sz w:val="24"/>
                <w:szCs w:val="24"/>
              </w:rPr>
            </w:pPr>
            <w:r w:rsidRPr="009B03E3">
              <w:rPr>
                <w:rFonts w:ascii="Times New Roman" w:hAnsi="Times New Roman"/>
                <w:sz w:val="24"/>
                <w:szCs w:val="24"/>
              </w:rPr>
              <w:t>Projekta izstrādē iesaistītās institūcijas un publiskas personas kapitālsabiedrības</w:t>
            </w:r>
          </w:p>
        </w:tc>
        <w:tc>
          <w:tcPr>
            <w:tcW w:w="3732" w:type="pct"/>
            <w:tcBorders>
              <w:top w:val="outset" w:sz="6" w:space="0" w:color="414142"/>
              <w:left w:val="outset" w:sz="6" w:space="0" w:color="414142"/>
              <w:bottom w:val="outset" w:sz="6" w:space="0" w:color="414142"/>
              <w:right w:val="outset" w:sz="6" w:space="0" w:color="414142"/>
            </w:tcBorders>
            <w:hideMark/>
          </w:tcPr>
          <w:p w14:paraId="4DD6B2B2" w14:textId="77777777" w:rsidR="005F3B40" w:rsidRPr="009B03E3" w:rsidRDefault="009C5617" w:rsidP="0097370E">
            <w:pPr>
              <w:spacing w:after="0" w:line="240" w:lineRule="auto"/>
              <w:jc w:val="both"/>
              <w:rPr>
                <w:rFonts w:ascii="Times New Roman" w:hAnsi="Times New Roman"/>
                <w:sz w:val="24"/>
                <w:szCs w:val="24"/>
              </w:rPr>
            </w:pPr>
            <w:r w:rsidRPr="009B03E3">
              <w:rPr>
                <w:rFonts w:ascii="Times New Roman" w:hAnsi="Times New Roman"/>
                <w:sz w:val="24"/>
                <w:szCs w:val="24"/>
              </w:rPr>
              <w:t>Sabiedrisko pakalpojumu regulēšanas komisija</w:t>
            </w:r>
          </w:p>
        </w:tc>
      </w:tr>
      <w:tr w:rsidR="009B03E3" w:rsidRPr="009B03E3" w14:paraId="3BCAD43D" w14:textId="77777777" w:rsidTr="00594580">
        <w:tc>
          <w:tcPr>
            <w:tcW w:w="279" w:type="pct"/>
            <w:tcBorders>
              <w:top w:val="outset" w:sz="6" w:space="0" w:color="414142"/>
              <w:left w:val="outset" w:sz="6" w:space="0" w:color="414142"/>
              <w:bottom w:val="outset" w:sz="6" w:space="0" w:color="414142"/>
              <w:right w:val="outset" w:sz="6" w:space="0" w:color="414142"/>
            </w:tcBorders>
            <w:hideMark/>
          </w:tcPr>
          <w:p w14:paraId="46AE7041" w14:textId="77777777" w:rsidR="005F3B40" w:rsidRPr="009B03E3" w:rsidRDefault="005F3B40" w:rsidP="003465C6">
            <w:pPr>
              <w:pStyle w:val="tvhtml"/>
              <w:spacing w:before="0" w:beforeAutospacing="0" w:after="0" w:afterAutospacing="0"/>
              <w:jc w:val="center"/>
              <w:rPr>
                <w:lang w:eastAsia="en-US"/>
              </w:rPr>
            </w:pPr>
            <w:r w:rsidRPr="009B03E3">
              <w:rPr>
                <w:lang w:eastAsia="en-US"/>
              </w:rPr>
              <w:t>4.</w:t>
            </w:r>
          </w:p>
        </w:tc>
        <w:tc>
          <w:tcPr>
            <w:tcW w:w="989" w:type="pct"/>
            <w:tcBorders>
              <w:top w:val="outset" w:sz="6" w:space="0" w:color="414142"/>
              <w:left w:val="outset" w:sz="6" w:space="0" w:color="414142"/>
              <w:bottom w:val="outset" w:sz="6" w:space="0" w:color="414142"/>
              <w:right w:val="outset" w:sz="6" w:space="0" w:color="414142"/>
            </w:tcBorders>
            <w:hideMark/>
          </w:tcPr>
          <w:p w14:paraId="2D154ECC" w14:textId="77777777" w:rsidR="005F3B40" w:rsidRPr="009B03E3" w:rsidRDefault="005F3B40" w:rsidP="003465C6">
            <w:pPr>
              <w:spacing w:after="0" w:line="240" w:lineRule="auto"/>
              <w:rPr>
                <w:rFonts w:ascii="Times New Roman" w:hAnsi="Times New Roman"/>
                <w:sz w:val="24"/>
                <w:szCs w:val="24"/>
              </w:rPr>
            </w:pPr>
            <w:r w:rsidRPr="009B03E3">
              <w:rPr>
                <w:rFonts w:ascii="Times New Roman" w:hAnsi="Times New Roman"/>
                <w:sz w:val="24"/>
                <w:szCs w:val="24"/>
              </w:rPr>
              <w:t>Cita informācija</w:t>
            </w:r>
          </w:p>
        </w:tc>
        <w:tc>
          <w:tcPr>
            <w:tcW w:w="3732" w:type="pct"/>
            <w:tcBorders>
              <w:top w:val="outset" w:sz="6" w:space="0" w:color="414142"/>
              <w:left w:val="outset" w:sz="6" w:space="0" w:color="414142"/>
              <w:bottom w:val="outset" w:sz="6" w:space="0" w:color="414142"/>
              <w:right w:val="outset" w:sz="6" w:space="0" w:color="414142"/>
            </w:tcBorders>
            <w:hideMark/>
          </w:tcPr>
          <w:p w14:paraId="257CB224" w14:textId="77777777" w:rsidR="005F3B40" w:rsidRPr="009B03E3" w:rsidRDefault="00CC60FD" w:rsidP="00C4454C">
            <w:pPr>
              <w:spacing w:after="0" w:line="240" w:lineRule="auto"/>
              <w:jc w:val="both"/>
              <w:rPr>
                <w:rFonts w:ascii="Times New Roman" w:hAnsi="Times New Roman"/>
                <w:sz w:val="24"/>
                <w:szCs w:val="24"/>
              </w:rPr>
            </w:pPr>
            <w:r w:rsidRPr="009B03E3">
              <w:rPr>
                <w:rFonts w:ascii="Times New Roman" w:hAnsi="Times New Roman"/>
                <w:sz w:val="24"/>
                <w:szCs w:val="24"/>
              </w:rPr>
              <w:t xml:space="preserve">Satiksmes ministrija, izpildot Ministru kabineta 2020.gada 26.maija sēdes </w:t>
            </w:r>
            <w:proofErr w:type="spellStart"/>
            <w:r w:rsidRPr="009B03E3">
              <w:rPr>
                <w:rFonts w:ascii="Times New Roman" w:hAnsi="Times New Roman"/>
                <w:sz w:val="24"/>
                <w:szCs w:val="24"/>
              </w:rPr>
              <w:t>protokollēmuma</w:t>
            </w:r>
            <w:proofErr w:type="spellEnd"/>
            <w:r w:rsidRPr="009B03E3">
              <w:rPr>
                <w:rFonts w:ascii="Times New Roman" w:hAnsi="Times New Roman"/>
                <w:sz w:val="24"/>
                <w:szCs w:val="24"/>
              </w:rPr>
              <w:t xml:space="preserve"> (</w:t>
            </w:r>
            <w:proofErr w:type="spellStart"/>
            <w:r w:rsidRPr="009B03E3">
              <w:rPr>
                <w:rFonts w:ascii="Times New Roman" w:hAnsi="Times New Roman"/>
                <w:sz w:val="24"/>
                <w:szCs w:val="24"/>
              </w:rPr>
              <w:t>prot.Nr</w:t>
            </w:r>
            <w:proofErr w:type="spellEnd"/>
            <w:r w:rsidRPr="009B03E3">
              <w:rPr>
                <w:rFonts w:ascii="Times New Roman" w:hAnsi="Times New Roman"/>
                <w:sz w:val="24"/>
                <w:szCs w:val="24"/>
              </w:rPr>
              <w:t>. 36 25.§) 3.punktu</w:t>
            </w:r>
            <w:r w:rsidR="007974CB" w:rsidRPr="009B03E3">
              <w:rPr>
                <w:rFonts w:ascii="Times New Roman" w:hAnsi="Times New Roman"/>
                <w:sz w:val="24"/>
                <w:szCs w:val="24"/>
              </w:rPr>
              <w:t>, ar Satiksmes ministrijas 2020.gada 27.maija vēstuli Nr.10-01/1984</w:t>
            </w:r>
            <w:r w:rsidRPr="009B03E3">
              <w:rPr>
                <w:rFonts w:ascii="Times New Roman" w:hAnsi="Times New Roman"/>
                <w:sz w:val="24"/>
                <w:szCs w:val="24"/>
              </w:rPr>
              <w:t xml:space="preserve"> ir nosūtījusi Vides aizsardzības un reģionālās attīstības ministrijai priekšlikumus </w:t>
            </w:r>
            <w:r w:rsidR="007974CB" w:rsidRPr="009B03E3">
              <w:rPr>
                <w:rFonts w:ascii="Times New Roman" w:hAnsi="Times New Roman"/>
                <w:sz w:val="24"/>
                <w:szCs w:val="24"/>
              </w:rPr>
              <w:t xml:space="preserve">par nepieciešamajiem </w:t>
            </w:r>
            <w:r w:rsidRPr="009B03E3">
              <w:rPr>
                <w:rFonts w:ascii="Times New Roman" w:hAnsi="Times New Roman"/>
                <w:sz w:val="24"/>
                <w:szCs w:val="24"/>
              </w:rPr>
              <w:t>grozījum</w:t>
            </w:r>
            <w:r w:rsidR="007974CB" w:rsidRPr="009B03E3">
              <w:rPr>
                <w:rFonts w:ascii="Times New Roman" w:hAnsi="Times New Roman"/>
                <w:sz w:val="24"/>
                <w:szCs w:val="24"/>
              </w:rPr>
              <w:t>iem</w:t>
            </w:r>
            <w:r w:rsidRPr="009B03E3">
              <w:rPr>
                <w:rFonts w:ascii="Times New Roman" w:hAnsi="Times New Roman"/>
                <w:sz w:val="24"/>
                <w:szCs w:val="24"/>
              </w:rPr>
              <w:t xml:space="preserve"> Nacionālajā numerācijas plānā</w:t>
            </w:r>
            <w:r w:rsidR="007974CB" w:rsidRPr="009B03E3">
              <w:rPr>
                <w:rFonts w:ascii="Times New Roman" w:hAnsi="Times New Roman"/>
                <w:sz w:val="24"/>
                <w:szCs w:val="24"/>
              </w:rPr>
              <w:t xml:space="preserve">, paredzot numerācijas iedalīšanu </w:t>
            </w:r>
            <w:proofErr w:type="spellStart"/>
            <w:r w:rsidR="007974CB" w:rsidRPr="009B03E3">
              <w:rPr>
                <w:rFonts w:ascii="Times New Roman" w:hAnsi="Times New Roman"/>
                <w:sz w:val="24"/>
                <w:szCs w:val="24"/>
              </w:rPr>
              <w:t>IoT</w:t>
            </w:r>
            <w:proofErr w:type="spellEnd"/>
            <w:r w:rsidR="007974CB" w:rsidRPr="009B03E3">
              <w:rPr>
                <w:rFonts w:ascii="Times New Roman" w:hAnsi="Times New Roman"/>
                <w:sz w:val="24"/>
                <w:szCs w:val="24"/>
              </w:rPr>
              <w:t>/M2M</w:t>
            </w:r>
            <w:r w:rsidR="0052657E">
              <w:rPr>
                <w:rFonts w:ascii="Times New Roman" w:hAnsi="Times New Roman"/>
                <w:sz w:val="24"/>
                <w:szCs w:val="24"/>
              </w:rPr>
              <w:t xml:space="preserve"> numuriem</w:t>
            </w:r>
            <w:r w:rsidR="007974CB" w:rsidRPr="009B03E3">
              <w:rPr>
                <w:rFonts w:ascii="Times New Roman" w:hAnsi="Times New Roman"/>
                <w:sz w:val="24"/>
                <w:szCs w:val="24"/>
              </w:rPr>
              <w:t xml:space="preserve">. </w:t>
            </w:r>
          </w:p>
        </w:tc>
      </w:tr>
    </w:tbl>
    <w:p w14:paraId="6F3CF4BC" w14:textId="77777777" w:rsidR="005F3B40" w:rsidRPr="009B03E3" w:rsidRDefault="005F3B40" w:rsidP="003465C6">
      <w:pPr>
        <w:shd w:val="clear" w:color="auto" w:fill="FFFFFF"/>
        <w:spacing w:after="0" w:line="240" w:lineRule="auto"/>
        <w:rPr>
          <w:rFonts w:ascii="Times New Roman" w:hAnsi="Times New Roman"/>
          <w:sz w:val="28"/>
          <w:szCs w:val="28"/>
        </w:rPr>
      </w:pPr>
      <w:r w:rsidRPr="009B03E3">
        <w:rPr>
          <w:rFonts w:ascii="Times New Roman" w:hAnsi="Times New Roman"/>
          <w:sz w:val="28"/>
          <w:szCs w:val="28"/>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627"/>
        <w:gridCol w:w="3553"/>
        <w:gridCol w:w="6270"/>
      </w:tblGrid>
      <w:tr w:rsidR="009B03E3" w:rsidRPr="009B03E3" w14:paraId="7685E84C" w14:textId="77777777" w:rsidTr="005F3B40">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1085C291" w14:textId="77777777" w:rsidR="005F3B40" w:rsidRPr="009B03E3" w:rsidRDefault="005F3B40" w:rsidP="003465C6">
            <w:pPr>
              <w:pStyle w:val="tvhtml"/>
              <w:spacing w:before="0" w:beforeAutospacing="0" w:after="0" w:afterAutospacing="0"/>
              <w:jc w:val="center"/>
              <w:rPr>
                <w:b/>
                <w:bCs/>
                <w:lang w:eastAsia="en-US"/>
              </w:rPr>
            </w:pPr>
            <w:r w:rsidRPr="009B03E3">
              <w:rPr>
                <w:b/>
                <w:bCs/>
                <w:lang w:eastAsia="en-US"/>
              </w:rPr>
              <w:t>II. Tiesību akta projekta ietekme uz sabiedrību, tautsaimniecības attīstību un administratīvo slogu</w:t>
            </w:r>
          </w:p>
        </w:tc>
      </w:tr>
      <w:tr w:rsidR="009B03E3" w:rsidRPr="009B03E3" w14:paraId="11B03647" w14:textId="77777777" w:rsidTr="005F3B40">
        <w:tc>
          <w:tcPr>
            <w:tcW w:w="300" w:type="pct"/>
            <w:tcBorders>
              <w:top w:val="outset" w:sz="6" w:space="0" w:color="414142"/>
              <w:left w:val="outset" w:sz="6" w:space="0" w:color="414142"/>
              <w:bottom w:val="outset" w:sz="6" w:space="0" w:color="414142"/>
              <w:right w:val="outset" w:sz="6" w:space="0" w:color="414142"/>
            </w:tcBorders>
            <w:hideMark/>
          </w:tcPr>
          <w:p w14:paraId="0A2DB196" w14:textId="77777777" w:rsidR="005F3B40" w:rsidRPr="009B03E3" w:rsidRDefault="005F3B40" w:rsidP="003465C6">
            <w:pPr>
              <w:pStyle w:val="tvhtml"/>
              <w:spacing w:before="0" w:beforeAutospacing="0" w:after="0" w:afterAutospacing="0"/>
              <w:jc w:val="center"/>
              <w:rPr>
                <w:lang w:eastAsia="en-US"/>
              </w:rPr>
            </w:pPr>
            <w:r w:rsidRPr="009B03E3">
              <w:rPr>
                <w:lang w:eastAsia="en-US"/>
              </w:rPr>
              <w:t>1.</w:t>
            </w:r>
          </w:p>
        </w:tc>
        <w:tc>
          <w:tcPr>
            <w:tcW w:w="1700" w:type="pct"/>
            <w:tcBorders>
              <w:top w:val="outset" w:sz="6" w:space="0" w:color="414142"/>
              <w:left w:val="outset" w:sz="6" w:space="0" w:color="414142"/>
              <w:bottom w:val="outset" w:sz="6" w:space="0" w:color="414142"/>
              <w:right w:val="outset" w:sz="6" w:space="0" w:color="414142"/>
            </w:tcBorders>
            <w:hideMark/>
          </w:tcPr>
          <w:p w14:paraId="16027247" w14:textId="77777777" w:rsidR="005F3B40" w:rsidRPr="009B03E3" w:rsidRDefault="005F3B40" w:rsidP="003465C6">
            <w:pPr>
              <w:spacing w:after="0" w:line="240" w:lineRule="auto"/>
              <w:jc w:val="both"/>
              <w:rPr>
                <w:rFonts w:ascii="Times New Roman" w:hAnsi="Times New Roman"/>
                <w:sz w:val="24"/>
                <w:szCs w:val="24"/>
              </w:rPr>
            </w:pPr>
            <w:r w:rsidRPr="009B03E3">
              <w:rPr>
                <w:rFonts w:ascii="Times New Roman" w:hAnsi="Times New Roman"/>
                <w:sz w:val="24"/>
                <w:szCs w:val="24"/>
              </w:rPr>
              <w:t xml:space="preserve">Sabiedrības </w:t>
            </w:r>
            <w:proofErr w:type="spellStart"/>
            <w:r w:rsidRPr="009B03E3">
              <w:rPr>
                <w:rFonts w:ascii="Times New Roman" w:hAnsi="Times New Roman"/>
                <w:sz w:val="24"/>
                <w:szCs w:val="24"/>
              </w:rPr>
              <w:t>mērķgrupas</w:t>
            </w:r>
            <w:proofErr w:type="spellEnd"/>
            <w:r w:rsidRPr="009B03E3">
              <w:rPr>
                <w:rFonts w:ascii="Times New Roman" w:hAnsi="Times New Roman"/>
                <w:sz w:val="24"/>
                <w:szCs w:val="24"/>
              </w:rPr>
              <w:t>, kuras tiesiskais regulējums ietekmē vai varētu ietekmēt</w:t>
            </w:r>
          </w:p>
        </w:tc>
        <w:tc>
          <w:tcPr>
            <w:tcW w:w="3000" w:type="pct"/>
            <w:tcBorders>
              <w:top w:val="outset" w:sz="6" w:space="0" w:color="414142"/>
              <w:left w:val="outset" w:sz="6" w:space="0" w:color="414142"/>
              <w:bottom w:val="outset" w:sz="6" w:space="0" w:color="414142"/>
              <w:right w:val="outset" w:sz="6" w:space="0" w:color="414142"/>
            </w:tcBorders>
            <w:hideMark/>
          </w:tcPr>
          <w:p w14:paraId="76E6DCC4" w14:textId="77777777" w:rsidR="00EC2DA7" w:rsidRPr="009B03E3" w:rsidRDefault="009C5617" w:rsidP="00CC73A2">
            <w:pPr>
              <w:spacing w:after="0" w:line="240" w:lineRule="auto"/>
              <w:jc w:val="both"/>
              <w:rPr>
                <w:rFonts w:ascii="Times New Roman" w:hAnsi="Times New Roman"/>
                <w:sz w:val="24"/>
                <w:szCs w:val="24"/>
              </w:rPr>
            </w:pPr>
            <w:r w:rsidRPr="009B03E3">
              <w:rPr>
                <w:rFonts w:ascii="Times New Roman" w:hAnsi="Times New Roman"/>
                <w:sz w:val="24"/>
                <w:szCs w:val="24"/>
              </w:rPr>
              <w:t xml:space="preserve">Elektronisko sakaru komersanti, </w:t>
            </w:r>
            <w:r w:rsidR="00D23576" w:rsidRPr="009B03E3">
              <w:rPr>
                <w:rFonts w:ascii="Times New Roman" w:hAnsi="Times New Roman"/>
                <w:sz w:val="24"/>
                <w:szCs w:val="24"/>
              </w:rPr>
              <w:t xml:space="preserve">kas pakalpojumu sniegšanai ar  Sabiedrisko pakalpojumu regulēšanas komisijas padomes lēmumu ir saņēmuši numerācijas </w:t>
            </w:r>
            <w:r w:rsidR="00ED70C4" w:rsidRPr="009B03E3">
              <w:rPr>
                <w:rFonts w:ascii="Times New Roman" w:hAnsi="Times New Roman"/>
                <w:sz w:val="24"/>
                <w:szCs w:val="24"/>
              </w:rPr>
              <w:t xml:space="preserve">lietošanas tiesības. </w:t>
            </w:r>
            <w:r w:rsidR="00ED70C4" w:rsidRPr="00576918">
              <w:rPr>
                <w:rFonts w:ascii="Times New Roman" w:hAnsi="Times New Roman"/>
                <w:sz w:val="24"/>
                <w:szCs w:val="24"/>
              </w:rPr>
              <w:t xml:space="preserve">Skaits </w:t>
            </w:r>
            <w:r w:rsidR="005E095F" w:rsidRPr="00576918">
              <w:rPr>
                <w:rFonts w:ascii="Times New Roman" w:hAnsi="Times New Roman"/>
                <w:sz w:val="24"/>
                <w:szCs w:val="24"/>
              </w:rPr>
              <w:t>56.</w:t>
            </w:r>
            <w:r w:rsidR="005E095F" w:rsidRPr="009B03E3">
              <w:rPr>
                <w:rFonts w:ascii="Times New Roman" w:hAnsi="Times New Roman"/>
                <w:sz w:val="24"/>
                <w:szCs w:val="24"/>
              </w:rPr>
              <w:t xml:space="preserve"> </w:t>
            </w:r>
          </w:p>
        </w:tc>
      </w:tr>
      <w:tr w:rsidR="009B03E3" w:rsidRPr="009B03E3" w14:paraId="16B7C8C1" w14:textId="77777777" w:rsidTr="005F3B40">
        <w:tc>
          <w:tcPr>
            <w:tcW w:w="300" w:type="pct"/>
            <w:tcBorders>
              <w:top w:val="outset" w:sz="6" w:space="0" w:color="414142"/>
              <w:left w:val="outset" w:sz="6" w:space="0" w:color="414142"/>
              <w:bottom w:val="outset" w:sz="6" w:space="0" w:color="414142"/>
              <w:right w:val="outset" w:sz="6" w:space="0" w:color="414142"/>
            </w:tcBorders>
            <w:hideMark/>
          </w:tcPr>
          <w:p w14:paraId="301F0B00" w14:textId="77777777" w:rsidR="005F3B40" w:rsidRPr="009B03E3" w:rsidRDefault="005F3B40" w:rsidP="003465C6">
            <w:pPr>
              <w:pStyle w:val="tvhtml"/>
              <w:spacing w:before="0" w:beforeAutospacing="0" w:after="0" w:afterAutospacing="0"/>
              <w:jc w:val="center"/>
              <w:rPr>
                <w:lang w:eastAsia="en-US"/>
              </w:rPr>
            </w:pPr>
            <w:r w:rsidRPr="009B03E3">
              <w:rPr>
                <w:lang w:eastAsia="en-US"/>
              </w:rPr>
              <w:lastRenderedPageBreak/>
              <w:t>2.</w:t>
            </w:r>
          </w:p>
        </w:tc>
        <w:tc>
          <w:tcPr>
            <w:tcW w:w="1700" w:type="pct"/>
            <w:tcBorders>
              <w:top w:val="outset" w:sz="6" w:space="0" w:color="414142"/>
              <w:left w:val="outset" w:sz="6" w:space="0" w:color="414142"/>
              <w:bottom w:val="outset" w:sz="6" w:space="0" w:color="414142"/>
              <w:right w:val="outset" w:sz="6" w:space="0" w:color="414142"/>
            </w:tcBorders>
            <w:hideMark/>
          </w:tcPr>
          <w:p w14:paraId="31F5C43C" w14:textId="77777777" w:rsidR="005F3B40" w:rsidRPr="009B03E3" w:rsidRDefault="005F3B40" w:rsidP="003465C6">
            <w:pPr>
              <w:spacing w:after="0" w:line="240" w:lineRule="auto"/>
              <w:rPr>
                <w:rFonts w:ascii="Times New Roman" w:hAnsi="Times New Roman"/>
                <w:sz w:val="24"/>
                <w:szCs w:val="24"/>
              </w:rPr>
            </w:pPr>
            <w:r w:rsidRPr="009B03E3">
              <w:rPr>
                <w:rFonts w:ascii="Times New Roman" w:hAnsi="Times New Roman"/>
                <w:sz w:val="24"/>
                <w:szCs w:val="24"/>
              </w:rPr>
              <w:t>Tiesiskā regulējuma ietekme uz tautsaimniecību un administratīvo slogu</w:t>
            </w:r>
          </w:p>
        </w:tc>
        <w:tc>
          <w:tcPr>
            <w:tcW w:w="3000" w:type="pct"/>
            <w:tcBorders>
              <w:top w:val="outset" w:sz="6" w:space="0" w:color="414142"/>
              <w:left w:val="outset" w:sz="6" w:space="0" w:color="414142"/>
              <w:bottom w:val="outset" w:sz="6" w:space="0" w:color="414142"/>
              <w:right w:val="outset" w:sz="6" w:space="0" w:color="414142"/>
            </w:tcBorders>
            <w:hideMark/>
          </w:tcPr>
          <w:p w14:paraId="3C760558" w14:textId="149FDBC6" w:rsidR="005F3B40" w:rsidRPr="009B03E3" w:rsidRDefault="00C4454C" w:rsidP="00CC73A2">
            <w:pPr>
              <w:spacing w:after="0" w:line="240" w:lineRule="auto"/>
              <w:jc w:val="both"/>
              <w:rPr>
                <w:rFonts w:ascii="Times New Roman" w:hAnsi="Times New Roman"/>
                <w:sz w:val="24"/>
                <w:szCs w:val="24"/>
              </w:rPr>
            </w:pPr>
            <w:r w:rsidRPr="009B03E3">
              <w:rPr>
                <w:rFonts w:ascii="Times New Roman" w:hAnsi="Times New Roman"/>
                <w:sz w:val="24"/>
                <w:szCs w:val="24"/>
              </w:rPr>
              <w:t xml:space="preserve">Noteikumu projektā paredzētais </w:t>
            </w:r>
            <w:r w:rsidR="00AF5D54">
              <w:rPr>
                <w:rFonts w:ascii="Times New Roman" w:hAnsi="Times New Roman"/>
                <w:sz w:val="24"/>
                <w:szCs w:val="24"/>
              </w:rPr>
              <w:t>N</w:t>
            </w:r>
            <w:r w:rsidRPr="009B03E3">
              <w:rPr>
                <w:rFonts w:ascii="Times New Roman" w:hAnsi="Times New Roman"/>
                <w:sz w:val="24"/>
                <w:szCs w:val="24"/>
              </w:rPr>
              <w:t>odevas apjoms ir nebūtisks, līdz ar to tam nav ietekmes uz tautsaimniecību un administratīvo slogu.</w:t>
            </w:r>
          </w:p>
        </w:tc>
      </w:tr>
      <w:tr w:rsidR="009B03E3" w:rsidRPr="009B03E3" w14:paraId="116C7AC5" w14:textId="77777777" w:rsidTr="005F3B40">
        <w:tc>
          <w:tcPr>
            <w:tcW w:w="300" w:type="pct"/>
            <w:tcBorders>
              <w:top w:val="outset" w:sz="6" w:space="0" w:color="414142"/>
              <w:left w:val="outset" w:sz="6" w:space="0" w:color="414142"/>
              <w:bottom w:val="outset" w:sz="6" w:space="0" w:color="414142"/>
              <w:right w:val="outset" w:sz="6" w:space="0" w:color="414142"/>
            </w:tcBorders>
            <w:hideMark/>
          </w:tcPr>
          <w:p w14:paraId="239D480A" w14:textId="77777777" w:rsidR="005F3B40" w:rsidRPr="009B03E3" w:rsidRDefault="005F3B40" w:rsidP="003465C6">
            <w:pPr>
              <w:pStyle w:val="tvhtml"/>
              <w:spacing w:before="0" w:beforeAutospacing="0" w:after="0" w:afterAutospacing="0"/>
              <w:jc w:val="center"/>
              <w:rPr>
                <w:lang w:eastAsia="en-US"/>
              </w:rPr>
            </w:pPr>
            <w:r w:rsidRPr="009B03E3">
              <w:rPr>
                <w:lang w:eastAsia="en-US"/>
              </w:rPr>
              <w:t>3.</w:t>
            </w:r>
          </w:p>
        </w:tc>
        <w:tc>
          <w:tcPr>
            <w:tcW w:w="1700" w:type="pct"/>
            <w:tcBorders>
              <w:top w:val="outset" w:sz="6" w:space="0" w:color="414142"/>
              <w:left w:val="outset" w:sz="6" w:space="0" w:color="414142"/>
              <w:bottom w:val="outset" w:sz="6" w:space="0" w:color="414142"/>
              <w:right w:val="outset" w:sz="6" w:space="0" w:color="414142"/>
            </w:tcBorders>
            <w:hideMark/>
          </w:tcPr>
          <w:p w14:paraId="63E17CC0" w14:textId="77777777" w:rsidR="005F3B40" w:rsidRPr="009B03E3" w:rsidRDefault="005F3B40" w:rsidP="003465C6">
            <w:pPr>
              <w:spacing w:after="0" w:line="240" w:lineRule="auto"/>
              <w:rPr>
                <w:rFonts w:ascii="Times New Roman" w:hAnsi="Times New Roman"/>
                <w:sz w:val="24"/>
                <w:szCs w:val="24"/>
              </w:rPr>
            </w:pPr>
            <w:r w:rsidRPr="009B03E3">
              <w:rPr>
                <w:rFonts w:ascii="Times New Roman" w:hAnsi="Times New Roman"/>
                <w:sz w:val="24"/>
                <w:szCs w:val="24"/>
              </w:rPr>
              <w:t>Administratīvo izmaksu monetārs novērtējums</w:t>
            </w:r>
          </w:p>
        </w:tc>
        <w:tc>
          <w:tcPr>
            <w:tcW w:w="3000" w:type="pct"/>
            <w:tcBorders>
              <w:top w:val="outset" w:sz="6" w:space="0" w:color="414142"/>
              <w:left w:val="outset" w:sz="6" w:space="0" w:color="414142"/>
              <w:bottom w:val="outset" w:sz="6" w:space="0" w:color="414142"/>
              <w:right w:val="outset" w:sz="6" w:space="0" w:color="414142"/>
            </w:tcBorders>
            <w:hideMark/>
          </w:tcPr>
          <w:p w14:paraId="5C7BB8C6" w14:textId="77777777" w:rsidR="005F3B40" w:rsidRPr="009B03E3" w:rsidRDefault="005F3B40" w:rsidP="0097370E">
            <w:pPr>
              <w:spacing w:after="0" w:line="240" w:lineRule="auto"/>
              <w:rPr>
                <w:rFonts w:ascii="Times New Roman" w:hAnsi="Times New Roman"/>
                <w:sz w:val="24"/>
                <w:szCs w:val="24"/>
              </w:rPr>
            </w:pPr>
            <w:r w:rsidRPr="009B03E3">
              <w:rPr>
                <w:rFonts w:ascii="Times New Roman" w:eastAsia="Times New Roman" w:hAnsi="Times New Roman"/>
                <w:sz w:val="24"/>
                <w:szCs w:val="24"/>
                <w:lang w:eastAsia="lv-LV"/>
              </w:rPr>
              <w:t>Projekts šo jomu neskar.</w:t>
            </w:r>
          </w:p>
        </w:tc>
      </w:tr>
      <w:tr w:rsidR="009B03E3" w:rsidRPr="009B03E3" w14:paraId="0BCCB356" w14:textId="77777777" w:rsidTr="005F3B40">
        <w:tc>
          <w:tcPr>
            <w:tcW w:w="300" w:type="pct"/>
            <w:tcBorders>
              <w:top w:val="outset" w:sz="6" w:space="0" w:color="414142"/>
              <w:left w:val="outset" w:sz="6" w:space="0" w:color="414142"/>
              <w:bottom w:val="outset" w:sz="6" w:space="0" w:color="414142"/>
              <w:right w:val="outset" w:sz="6" w:space="0" w:color="414142"/>
            </w:tcBorders>
            <w:hideMark/>
          </w:tcPr>
          <w:p w14:paraId="09AE8E31" w14:textId="77777777" w:rsidR="005F3B40" w:rsidRPr="009B03E3" w:rsidRDefault="005F3B40" w:rsidP="003465C6">
            <w:pPr>
              <w:pStyle w:val="tvhtml"/>
              <w:spacing w:before="0" w:beforeAutospacing="0" w:after="0" w:afterAutospacing="0"/>
              <w:jc w:val="center"/>
              <w:rPr>
                <w:lang w:eastAsia="en-US"/>
              </w:rPr>
            </w:pPr>
            <w:r w:rsidRPr="009B03E3">
              <w:rPr>
                <w:lang w:eastAsia="en-US"/>
              </w:rPr>
              <w:t>4.</w:t>
            </w:r>
          </w:p>
        </w:tc>
        <w:tc>
          <w:tcPr>
            <w:tcW w:w="1700" w:type="pct"/>
            <w:tcBorders>
              <w:top w:val="outset" w:sz="6" w:space="0" w:color="414142"/>
              <w:left w:val="outset" w:sz="6" w:space="0" w:color="414142"/>
              <w:bottom w:val="outset" w:sz="6" w:space="0" w:color="414142"/>
              <w:right w:val="outset" w:sz="6" w:space="0" w:color="414142"/>
            </w:tcBorders>
            <w:hideMark/>
          </w:tcPr>
          <w:p w14:paraId="0891B13D" w14:textId="77777777" w:rsidR="005F3B40" w:rsidRPr="009B03E3" w:rsidRDefault="005F3B40" w:rsidP="003465C6">
            <w:pPr>
              <w:spacing w:after="0" w:line="240" w:lineRule="auto"/>
              <w:rPr>
                <w:rFonts w:ascii="Times New Roman" w:hAnsi="Times New Roman"/>
                <w:sz w:val="24"/>
                <w:szCs w:val="24"/>
              </w:rPr>
            </w:pPr>
            <w:r w:rsidRPr="009B03E3">
              <w:rPr>
                <w:rFonts w:ascii="Times New Roman" w:hAnsi="Times New Roman"/>
                <w:sz w:val="24"/>
                <w:szCs w:val="24"/>
              </w:rPr>
              <w:t>Atbilstības izmaksu monetārs novērtējums</w:t>
            </w:r>
          </w:p>
        </w:tc>
        <w:tc>
          <w:tcPr>
            <w:tcW w:w="3000" w:type="pct"/>
            <w:tcBorders>
              <w:top w:val="outset" w:sz="6" w:space="0" w:color="414142"/>
              <w:left w:val="outset" w:sz="6" w:space="0" w:color="414142"/>
              <w:bottom w:val="outset" w:sz="6" w:space="0" w:color="414142"/>
              <w:right w:val="outset" w:sz="6" w:space="0" w:color="414142"/>
            </w:tcBorders>
            <w:hideMark/>
          </w:tcPr>
          <w:p w14:paraId="584936EB" w14:textId="77777777" w:rsidR="005F3B40" w:rsidRPr="009B03E3" w:rsidRDefault="005F3B40" w:rsidP="0097370E">
            <w:pPr>
              <w:spacing w:after="0" w:line="240" w:lineRule="auto"/>
              <w:rPr>
                <w:rFonts w:ascii="Times New Roman" w:hAnsi="Times New Roman"/>
                <w:sz w:val="24"/>
                <w:szCs w:val="24"/>
              </w:rPr>
            </w:pPr>
            <w:r w:rsidRPr="009B03E3">
              <w:rPr>
                <w:rFonts w:ascii="Times New Roman" w:eastAsia="Times New Roman" w:hAnsi="Times New Roman"/>
                <w:sz w:val="24"/>
                <w:szCs w:val="24"/>
                <w:lang w:eastAsia="lv-LV"/>
              </w:rPr>
              <w:t>Projekts šo jomu neskar.</w:t>
            </w:r>
          </w:p>
        </w:tc>
      </w:tr>
      <w:tr w:rsidR="009B03E3" w:rsidRPr="009B03E3" w14:paraId="1B3C5915" w14:textId="77777777" w:rsidTr="005F3B40">
        <w:tc>
          <w:tcPr>
            <w:tcW w:w="300" w:type="pct"/>
            <w:tcBorders>
              <w:top w:val="outset" w:sz="6" w:space="0" w:color="414142"/>
              <w:left w:val="outset" w:sz="6" w:space="0" w:color="414142"/>
              <w:bottom w:val="outset" w:sz="6" w:space="0" w:color="414142"/>
              <w:right w:val="outset" w:sz="6" w:space="0" w:color="414142"/>
            </w:tcBorders>
            <w:hideMark/>
          </w:tcPr>
          <w:p w14:paraId="4708952D" w14:textId="77777777" w:rsidR="005F3B40" w:rsidRPr="009B03E3" w:rsidRDefault="005F3B40" w:rsidP="003465C6">
            <w:pPr>
              <w:pStyle w:val="tvhtml"/>
              <w:spacing w:before="0" w:beforeAutospacing="0" w:after="0" w:afterAutospacing="0"/>
              <w:jc w:val="center"/>
              <w:rPr>
                <w:lang w:eastAsia="en-US"/>
              </w:rPr>
            </w:pPr>
            <w:r w:rsidRPr="009B03E3">
              <w:rPr>
                <w:lang w:eastAsia="en-US"/>
              </w:rPr>
              <w:t>5.</w:t>
            </w:r>
          </w:p>
        </w:tc>
        <w:tc>
          <w:tcPr>
            <w:tcW w:w="1700" w:type="pct"/>
            <w:tcBorders>
              <w:top w:val="outset" w:sz="6" w:space="0" w:color="414142"/>
              <w:left w:val="outset" w:sz="6" w:space="0" w:color="414142"/>
              <w:bottom w:val="outset" w:sz="6" w:space="0" w:color="414142"/>
              <w:right w:val="outset" w:sz="6" w:space="0" w:color="414142"/>
            </w:tcBorders>
            <w:hideMark/>
          </w:tcPr>
          <w:p w14:paraId="2F4FBC43" w14:textId="77777777" w:rsidR="005F3B40" w:rsidRPr="009B03E3" w:rsidRDefault="005F3B40" w:rsidP="003465C6">
            <w:pPr>
              <w:spacing w:after="0" w:line="240" w:lineRule="auto"/>
              <w:rPr>
                <w:rFonts w:ascii="Times New Roman" w:hAnsi="Times New Roman"/>
                <w:sz w:val="24"/>
                <w:szCs w:val="24"/>
              </w:rPr>
            </w:pPr>
            <w:r w:rsidRPr="009B03E3">
              <w:rPr>
                <w:rFonts w:ascii="Times New Roman" w:hAnsi="Times New Roman"/>
                <w:sz w:val="24"/>
                <w:szCs w:val="24"/>
              </w:rPr>
              <w:t>Cita informācija</w:t>
            </w:r>
          </w:p>
        </w:tc>
        <w:tc>
          <w:tcPr>
            <w:tcW w:w="3000" w:type="pct"/>
            <w:tcBorders>
              <w:top w:val="outset" w:sz="6" w:space="0" w:color="414142"/>
              <w:left w:val="outset" w:sz="6" w:space="0" w:color="414142"/>
              <w:bottom w:val="outset" w:sz="6" w:space="0" w:color="414142"/>
              <w:right w:val="outset" w:sz="6" w:space="0" w:color="414142"/>
            </w:tcBorders>
            <w:hideMark/>
          </w:tcPr>
          <w:p w14:paraId="20F612CF" w14:textId="77777777" w:rsidR="005F3B40" w:rsidRPr="009B03E3" w:rsidRDefault="005F3B40" w:rsidP="0097370E">
            <w:pPr>
              <w:spacing w:after="0" w:line="240" w:lineRule="auto"/>
              <w:rPr>
                <w:rFonts w:ascii="Times New Roman" w:hAnsi="Times New Roman"/>
                <w:sz w:val="24"/>
                <w:szCs w:val="24"/>
              </w:rPr>
            </w:pPr>
            <w:r w:rsidRPr="009B03E3">
              <w:rPr>
                <w:rFonts w:ascii="Times New Roman" w:hAnsi="Times New Roman"/>
                <w:sz w:val="24"/>
                <w:szCs w:val="24"/>
              </w:rPr>
              <w:t>Nav.</w:t>
            </w:r>
          </w:p>
        </w:tc>
      </w:tr>
    </w:tbl>
    <w:p w14:paraId="753231D9" w14:textId="77777777" w:rsidR="005F3B40" w:rsidRPr="009B03E3" w:rsidRDefault="005F3B40" w:rsidP="003465C6">
      <w:pPr>
        <w:shd w:val="clear" w:color="auto" w:fill="FFFFFF"/>
        <w:spacing w:after="0" w:line="240" w:lineRule="auto"/>
        <w:rPr>
          <w:rFonts w:ascii="Times New Roman" w:hAnsi="Times New Roman"/>
          <w:sz w:val="24"/>
          <w:szCs w:val="24"/>
        </w:rPr>
      </w:pPr>
      <w:r w:rsidRPr="009B03E3">
        <w:rPr>
          <w:rFonts w:ascii="Times New Roman" w:hAnsi="Times New Roman"/>
          <w:sz w:val="24"/>
          <w:szCs w:val="24"/>
        </w:rPr>
        <w:t> </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176"/>
        <w:gridCol w:w="1205"/>
        <w:gridCol w:w="1158"/>
        <w:gridCol w:w="1611"/>
        <w:gridCol w:w="963"/>
        <w:gridCol w:w="1312"/>
        <w:gridCol w:w="1221"/>
      </w:tblGrid>
      <w:tr w:rsidR="001D7C22" w:rsidRPr="00456625" w14:paraId="5D2A5D9B" w14:textId="77777777" w:rsidTr="00045EBA">
        <w:tc>
          <w:tcPr>
            <w:tcW w:w="10059" w:type="dxa"/>
            <w:gridSpan w:val="8"/>
            <w:shd w:val="clear" w:color="auto" w:fill="auto"/>
          </w:tcPr>
          <w:p w14:paraId="21AF4D04" w14:textId="77777777" w:rsidR="001D7C22" w:rsidRPr="00456625" w:rsidRDefault="001D7C22" w:rsidP="001D7C22">
            <w:pPr>
              <w:pStyle w:val="tvhtml"/>
              <w:spacing w:before="0" w:beforeAutospacing="0" w:after="0" w:afterAutospacing="0"/>
              <w:jc w:val="center"/>
              <w:rPr>
                <w:rFonts w:eastAsia="Calibri"/>
              </w:rPr>
            </w:pPr>
            <w:r w:rsidRPr="001D7C22">
              <w:rPr>
                <w:b/>
                <w:bCs/>
                <w:lang w:eastAsia="en-US"/>
              </w:rPr>
              <w:t>III. Tiesību akta projekta ietekme uz valsts budžetu un pašvaldību budžetiem</w:t>
            </w:r>
          </w:p>
        </w:tc>
      </w:tr>
      <w:tr w:rsidR="001D7C22" w:rsidRPr="00456625" w14:paraId="4655CFB4" w14:textId="77777777" w:rsidTr="00045EBA">
        <w:tc>
          <w:tcPr>
            <w:tcW w:w="1413" w:type="dxa"/>
            <w:vMerge w:val="restart"/>
            <w:shd w:val="clear" w:color="auto" w:fill="auto"/>
          </w:tcPr>
          <w:p w14:paraId="3D55E444" w14:textId="77777777" w:rsidR="001D7C22" w:rsidRPr="001D7C22" w:rsidRDefault="001D7C22" w:rsidP="001D7C22">
            <w:pPr>
              <w:spacing w:after="0" w:line="240" w:lineRule="auto"/>
              <w:rPr>
                <w:rFonts w:ascii="Times New Roman" w:hAnsi="Times New Roman"/>
                <w:iCs/>
                <w:color w:val="414142"/>
                <w:sz w:val="24"/>
                <w:szCs w:val="24"/>
              </w:rPr>
            </w:pPr>
          </w:p>
          <w:p w14:paraId="2322E031" w14:textId="77777777" w:rsidR="001D7C22" w:rsidRPr="001D7C22" w:rsidRDefault="001D7C22" w:rsidP="001D7C22">
            <w:pPr>
              <w:spacing w:after="0" w:line="240" w:lineRule="auto"/>
              <w:rPr>
                <w:rFonts w:ascii="Times New Roman" w:hAnsi="Times New Roman"/>
                <w:iCs/>
                <w:color w:val="414142"/>
                <w:sz w:val="24"/>
                <w:szCs w:val="24"/>
              </w:rPr>
            </w:pPr>
          </w:p>
          <w:p w14:paraId="0BFF8954" w14:textId="77777777" w:rsidR="001D7C22" w:rsidRPr="001D7C22" w:rsidRDefault="001D7C22" w:rsidP="001D7C22">
            <w:pPr>
              <w:spacing w:after="0" w:line="240" w:lineRule="auto"/>
              <w:rPr>
                <w:rFonts w:ascii="Times New Roman" w:hAnsi="Times New Roman"/>
                <w:color w:val="0D0D0D"/>
                <w:sz w:val="24"/>
                <w:szCs w:val="24"/>
              </w:rPr>
            </w:pPr>
            <w:r w:rsidRPr="001D7C22">
              <w:rPr>
                <w:rFonts w:ascii="Times New Roman" w:hAnsi="Times New Roman"/>
                <w:iCs/>
                <w:color w:val="414142"/>
                <w:sz w:val="24"/>
                <w:szCs w:val="24"/>
              </w:rPr>
              <w:t>Rādītāji</w:t>
            </w:r>
          </w:p>
        </w:tc>
        <w:tc>
          <w:tcPr>
            <w:tcW w:w="2381" w:type="dxa"/>
            <w:gridSpan w:val="2"/>
            <w:vMerge w:val="restart"/>
            <w:shd w:val="clear" w:color="auto" w:fill="auto"/>
          </w:tcPr>
          <w:p w14:paraId="6544009A" w14:textId="77777777" w:rsidR="001D7C22" w:rsidRPr="001D7C22" w:rsidRDefault="001D7C22" w:rsidP="001D7C22">
            <w:pPr>
              <w:spacing w:after="0" w:line="240" w:lineRule="auto"/>
              <w:rPr>
                <w:rFonts w:ascii="Times New Roman" w:hAnsi="Times New Roman"/>
                <w:iCs/>
                <w:sz w:val="24"/>
                <w:szCs w:val="24"/>
              </w:rPr>
            </w:pPr>
          </w:p>
          <w:p w14:paraId="7CD810C6"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iCs/>
                <w:sz w:val="24"/>
                <w:szCs w:val="24"/>
              </w:rPr>
              <w:t>2020. gads</w:t>
            </w:r>
          </w:p>
        </w:tc>
        <w:tc>
          <w:tcPr>
            <w:tcW w:w="6265" w:type="dxa"/>
            <w:gridSpan w:val="5"/>
            <w:shd w:val="clear" w:color="auto" w:fill="auto"/>
          </w:tcPr>
          <w:p w14:paraId="08086D4D"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iCs/>
                <w:sz w:val="24"/>
                <w:szCs w:val="24"/>
              </w:rPr>
              <w:t>Turpmākie trīs gadi (</w:t>
            </w:r>
            <w:proofErr w:type="spellStart"/>
            <w:r w:rsidRPr="001D7C22">
              <w:rPr>
                <w:rFonts w:ascii="Times New Roman" w:hAnsi="Times New Roman"/>
                <w:i/>
                <w:iCs/>
                <w:sz w:val="24"/>
                <w:szCs w:val="24"/>
              </w:rPr>
              <w:t>euro</w:t>
            </w:r>
            <w:proofErr w:type="spellEnd"/>
            <w:r w:rsidRPr="001D7C22">
              <w:rPr>
                <w:rFonts w:ascii="Times New Roman" w:hAnsi="Times New Roman"/>
                <w:iCs/>
                <w:sz w:val="24"/>
                <w:szCs w:val="24"/>
              </w:rPr>
              <w:t>)</w:t>
            </w:r>
          </w:p>
        </w:tc>
      </w:tr>
      <w:tr w:rsidR="001D7C22" w:rsidRPr="00456625" w14:paraId="5D2576C2" w14:textId="77777777" w:rsidTr="00045EBA">
        <w:tc>
          <w:tcPr>
            <w:tcW w:w="1413" w:type="dxa"/>
            <w:vMerge/>
            <w:shd w:val="clear" w:color="auto" w:fill="auto"/>
          </w:tcPr>
          <w:p w14:paraId="650E1716" w14:textId="77777777" w:rsidR="001D7C22" w:rsidRPr="001D7C22" w:rsidRDefault="001D7C22" w:rsidP="001D7C22">
            <w:pPr>
              <w:spacing w:after="0" w:line="240" w:lineRule="auto"/>
              <w:rPr>
                <w:rFonts w:ascii="Times New Roman" w:hAnsi="Times New Roman"/>
                <w:color w:val="0D0D0D"/>
                <w:sz w:val="24"/>
                <w:szCs w:val="24"/>
              </w:rPr>
            </w:pPr>
          </w:p>
        </w:tc>
        <w:tc>
          <w:tcPr>
            <w:tcW w:w="2381" w:type="dxa"/>
            <w:gridSpan w:val="2"/>
            <w:vMerge/>
            <w:shd w:val="clear" w:color="auto" w:fill="auto"/>
          </w:tcPr>
          <w:p w14:paraId="68989A01" w14:textId="77777777" w:rsidR="001D7C22" w:rsidRPr="001D7C22" w:rsidRDefault="001D7C22" w:rsidP="001D7C22">
            <w:pPr>
              <w:spacing w:after="0" w:line="240" w:lineRule="auto"/>
              <w:rPr>
                <w:rFonts w:ascii="Times New Roman" w:hAnsi="Times New Roman"/>
                <w:sz w:val="24"/>
                <w:szCs w:val="24"/>
              </w:rPr>
            </w:pPr>
          </w:p>
        </w:tc>
        <w:tc>
          <w:tcPr>
            <w:tcW w:w="2769" w:type="dxa"/>
            <w:gridSpan w:val="2"/>
            <w:shd w:val="clear" w:color="auto" w:fill="auto"/>
          </w:tcPr>
          <w:p w14:paraId="41591199"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iCs/>
                <w:sz w:val="24"/>
                <w:szCs w:val="24"/>
              </w:rPr>
              <w:t>2021. gads</w:t>
            </w:r>
          </w:p>
        </w:tc>
        <w:tc>
          <w:tcPr>
            <w:tcW w:w="2275" w:type="dxa"/>
            <w:gridSpan w:val="2"/>
            <w:shd w:val="clear" w:color="auto" w:fill="auto"/>
          </w:tcPr>
          <w:p w14:paraId="1104F061"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iCs/>
                <w:sz w:val="24"/>
                <w:szCs w:val="24"/>
              </w:rPr>
              <w:t>2022. gads</w:t>
            </w:r>
          </w:p>
        </w:tc>
        <w:tc>
          <w:tcPr>
            <w:tcW w:w="1221" w:type="dxa"/>
            <w:shd w:val="clear" w:color="auto" w:fill="auto"/>
          </w:tcPr>
          <w:p w14:paraId="05866BE5" w14:textId="77777777" w:rsidR="001D7C22" w:rsidRPr="001D7C22" w:rsidRDefault="001D7C22" w:rsidP="001D7C22">
            <w:pPr>
              <w:spacing w:after="0" w:line="240" w:lineRule="auto"/>
              <w:rPr>
                <w:rFonts w:ascii="Times New Roman" w:hAnsi="Times New Roman"/>
                <w:iCs/>
                <w:sz w:val="24"/>
                <w:szCs w:val="24"/>
              </w:rPr>
            </w:pPr>
            <w:r w:rsidRPr="001D7C22">
              <w:rPr>
                <w:rFonts w:ascii="Times New Roman" w:hAnsi="Times New Roman"/>
                <w:iCs/>
                <w:sz w:val="24"/>
                <w:szCs w:val="24"/>
              </w:rPr>
              <w:t>2023.</w:t>
            </w:r>
          </w:p>
          <w:p w14:paraId="10E5DB94"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iCs/>
                <w:sz w:val="24"/>
                <w:szCs w:val="24"/>
              </w:rPr>
              <w:t>gads</w:t>
            </w:r>
          </w:p>
        </w:tc>
      </w:tr>
      <w:tr w:rsidR="001D7C22" w:rsidRPr="00456625" w14:paraId="52D54A56" w14:textId="77777777" w:rsidTr="00045EBA">
        <w:tc>
          <w:tcPr>
            <w:tcW w:w="1413" w:type="dxa"/>
            <w:vMerge/>
            <w:shd w:val="clear" w:color="auto" w:fill="auto"/>
          </w:tcPr>
          <w:p w14:paraId="0149E0F3" w14:textId="77777777" w:rsidR="001D7C22" w:rsidRPr="001D7C22" w:rsidRDefault="001D7C22" w:rsidP="001D7C22">
            <w:pPr>
              <w:spacing w:after="0" w:line="240" w:lineRule="auto"/>
              <w:rPr>
                <w:rFonts w:ascii="Times New Roman" w:hAnsi="Times New Roman"/>
                <w:color w:val="0D0D0D"/>
                <w:sz w:val="24"/>
                <w:szCs w:val="24"/>
              </w:rPr>
            </w:pPr>
          </w:p>
        </w:tc>
        <w:tc>
          <w:tcPr>
            <w:tcW w:w="1176" w:type="dxa"/>
            <w:shd w:val="clear" w:color="auto" w:fill="auto"/>
          </w:tcPr>
          <w:p w14:paraId="0A47700B"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iCs/>
                <w:sz w:val="24"/>
                <w:szCs w:val="24"/>
              </w:rPr>
              <w:t>saskaņā ar valsts budžetu kārtējam gadam</w:t>
            </w:r>
          </w:p>
        </w:tc>
        <w:tc>
          <w:tcPr>
            <w:tcW w:w="1205" w:type="dxa"/>
            <w:shd w:val="clear" w:color="auto" w:fill="auto"/>
          </w:tcPr>
          <w:p w14:paraId="71A21E73"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iCs/>
                <w:sz w:val="24"/>
                <w:szCs w:val="24"/>
              </w:rPr>
              <w:t>izmaiņas kārtējā gadā, salīdzinot ar valsts budžetu kārtējam gadam</w:t>
            </w:r>
          </w:p>
        </w:tc>
        <w:tc>
          <w:tcPr>
            <w:tcW w:w="1158" w:type="dxa"/>
            <w:shd w:val="clear" w:color="auto" w:fill="auto"/>
          </w:tcPr>
          <w:p w14:paraId="73771FEB"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iCs/>
                <w:sz w:val="24"/>
                <w:szCs w:val="24"/>
              </w:rPr>
              <w:t>saskaņā ar vidēja termiņa budžeta ietvaru</w:t>
            </w:r>
          </w:p>
        </w:tc>
        <w:tc>
          <w:tcPr>
            <w:tcW w:w="1611" w:type="dxa"/>
            <w:shd w:val="clear" w:color="auto" w:fill="auto"/>
          </w:tcPr>
          <w:p w14:paraId="3C105F73"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iCs/>
                <w:sz w:val="24"/>
                <w:szCs w:val="24"/>
              </w:rPr>
              <w:t>izmaiņas, salīdzinot ar vidēja termiņa budžeta ietvaru 2021.gadam</w:t>
            </w:r>
          </w:p>
        </w:tc>
        <w:tc>
          <w:tcPr>
            <w:tcW w:w="963" w:type="dxa"/>
            <w:shd w:val="clear" w:color="auto" w:fill="auto"/>
            <w:vAlign w:val="center"/>
          </w:tcPr>
          <w:p w14:paraId="5B2A99F7"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iCs/>
                <w:sz w:val="24"/>
                <w:szCs w:val="24"/>
              </w:rPr>
              <w:t>saskaņā ar vidēja termiņa budžeta ietvaru</w:t>
            </w:r>
          </w:p>
        </w:tc>
        <w:tc>
          <w:tcPr>
            <w:tcW w:w="1312" w:type="dxa"/>
            <w:shd w:val="clear" w:color="auto" w:fill="auto"/>
          </w:tcPr>
          <w:p w14:paraId="0C6174BF"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iCs/>
                <w:sz w:val="24"/>
                <w:szCs w:val="24"/>
              </w:rPr>
              <w:t>izmaiņas, salīdzinot ar vidēja termiņa budžeta ietvaru 2022. gadam</w:t>
            </w:r>
          </w:p>
        </w:tc>
        <w:tc>
          <w:tcPr>
            <w:tcW w:w="1221" w:type="dxa"/>
            <w:shd w:val="clear" w:color="auto" w:fill="auto"/>
          </w:tcPr>
          <w:p w14:paraId="11C878F7" w14:textId="77777777" w:rsidR="001D7C22" w:rsidRPr="001D7C22" w:rsidRDefault="001D7C22" w:rsidP="00045EBA">
            <w:pPr>
              <w:spacing w:after="0" w:line="240" w:lineRule="auto"/>
              <w:rPr>
                <w:rFonts w:ascii="Times New Roman" w:hAnsi="Times New Roman"/>
                <w:sz w:val="24"/>
                <w:szCs w:val="24"/>
              </w:rPr>
            </w:pPr>
            <w:r w:rsidRPr="001D7C22">
              <w:rPr>
                <w:rFonts w:ascii="Times New Roman" w:hAnsi="Times New Roman"/>
                <w:iCs/>
                <w:sz w:val="24"/>
                <w:szCs w:val="24"/>
              </w:rPr>
              <w:t>izmaiņas, salīdzinot ar vidēja termiņa budžeta ietvaru 202</w:t>
            </w:r>
            <w:r w:rsidR="00045EBA">
              <w:rPr>
                <w:rFonts w:ascii="Times New Roman" w:hAnsi="Times New Roman"/>
                <w:iCs/>
                <w:sz w:val="24"/>
                <w:szCs w:val="24"/>
              </w:rPr>
              <w:t>3</w:t>
            </w:r>
            <w:r w:rsidRPr="001D7C22">
              <w:rPr>
                <w:rFonts w:ascii="Times New Roman" w:hAnsi="Times New Roman"/>
                <w:iCs/>
                <w:sz w:val="24"/>
                <w:szCs w:val="24"/>
              </w:rPr>
              <w:t>. gadam</w:t>
            </w:r>
          </w:p>
        </w:tc>
      </w:tr>
      <w:tr w:rsidR="001D7C22" w:rsidRPr="00456625" w14:paraId="10EBD190" w14:textId="77777777" w:rsidTr="00045EBA">
        <w:tc>
          <w:tcPr>
            <w:tcW w:w="1413" w:type="dxa"/>
            <w:shd w:val="clear" w:color="auto" w:fill="auto"/>
          </w:tcPr>
          <w:p w14:paraId="5B919E55" w14:textId="77777777" w:rsidR="001D7C22" w:rsidRPr="001D7C22" w:rsidRDefault="001D7C22" w:rsidP="001D7C22">
            <w:pPr>
              <w:spacing w:after="0" w:line="240" w:lineRule="auto"/>
              <w:rPr>
                <w:rFonts w:ascii="Times New Roman" w:hAnsi="Times New Roman"/>
                <w:color w:val="0D0D0D"/>
                <w:sz w:val="24"/>
                <w:szCs w:val="24"/>
              </w:rPr>
            </w:pPr>
            <w:r w:rsidRPr="001D7C22">
              <w:rPr>
                <w:rFonts w:ascii="Times New Roman" w:hAnsi="Times New Roman"/>
                <w:sz w:val="24"/>
                <w:szCs w:val="24"/>
              </w:rPr>
              <w:t>1</w:t>
            </w:r>
          </w:p>
        </w:tc>
        <w:tc>
          <w:tcPr>
            <w:tcW w:w="1176" w:type="dxa"/>
            <w:shd w:val="clear" w:color="auto" w:fill="auto"/>
          </w:tcPr>
          <w:p w14:paraId="7C73FB97"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2</w:t>
            </w:r>
          </w:p>
        </w:tc>
        <w:tc>
          <w:tcPr>
            <w:tcW w:w="1205" w:type="dxa"/>
            <w:shd w:val="clear" w:color="auto" w:fill="auto"/>
          </w:tcPr>
          <w:p w14:paraId="0887D276"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3</w:t>
            </w:r>
          </w:p>
        </w:tc>
        <w:tc>
          <w:tcPr>
            <w:tcW w:w="1158" w:type="dxa"/>
            <w:shd w:val="clear" w:color="auto" w:fill="auto"/>
          </w:tcPr>
          <w:p w14:paraId="5DA19D0E"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4</w:t>
            </w:r>
          </w:p>
        </w:tc>
        <w:tc>
          <w:tcPr>
            <w:tcW w:w="1611" w:type="dxa"/>
            <w:shd w:val="clear" w:color="auto" w:fill="auto"/>
          </w:tcPr>
          <w:p w14:paraId="1C131807"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5</w:t>
            </w:r>
          </w:p>
        </w:tc>
        <w:tc>
          <w:tcPr>
            <w:tcW w:w="963" w:type="dxa"/>
            <w:shd w:val="clear" w:color="auto" w:fill="auto"/>
          </w:tcPr>
          <w:p w14:paraId="238D7446"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6</w:t>
            </w:r>
          </w:p>
        </w:tc>
        <w:tc>
          <w:tcPr>
            <w:tcW w:w="1312" w:type="dxa"/>
            <w:shd w:val="clear" w:color="auto" w:fill="auto"/>
          </w:tcPr>
          <w:p w14:paraId="04B26FF5"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7</w:t>
            </w:r>
          </w:p>
        </w:tc>
        <w:tc>
          <w:tcPr>
            <w:tcW w:w="1221" w:type="dxa"/>
            <w:shd w:val="clear" w:color="auto" w:fill="auto"/>
          </w:tcPr>
          <w:p w14:paraId="4C7DCB44"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8</w:t>
            </w:r>
          </w:p>
        </w:tc>
      </w:tr>
      <w:tr w:rsidR="001D7C22" w:rsidRPr="00456625" w14:paraId="3201BC6B" w14:textId="77777777" w:rsidTr="00045EBA">
        <w:tc>
          <w:tcPr>
            <w:tcW w:w="1413" w:type="dxa"/>
            <w:shd w:val="clear" w:color="auto" w:fill="auto"/>
          </w:tcPr>
          <w:p w14:paraId="41D33D55"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1. Budžeta ieņēmumi</w:t>
            </w:r>
          </w:p>
        </w:tc>
        <w:tc>
          <w:tcPr>
            <w:tcW w:w="1176" w:type="dxa"/>
            <w:tcBorders>
              <w:top w:val="outset" w:sz="6" w:space="0" w:color="000000"/>
              <w:left w:val="outset" w:sz="6" w:space="0" w:color="000000"/>
              <w:bottom w:val="outset" w:sz="6" w:space="0" w:color="000000"/>
              <w:right w:val="outset" w:sz="6" w:space="0" w:color="000000"/>
            </w:tcBorders>
            <w:shd w:val="clear" w:color="auto" w:fill="auto"/>
          </w:tcPr>
          <w:p w14:paraId="5FE4AC4F" w14:textId="77777777" w:rsidR="001D7C22" w:rsidRPr="001D7C22" w:rsidRDefault="001D7C22" w:rsidP="001D7C22">
            <w:pPr>
              <w:spacing w:after="0" w:line="240" w:lineRule="auto"/>
              <w:rPr>
                <w:rFonts w:ascii="Times New Roman" w:hAnsi="Times New Roman"/>
                <w:sz w:val="24"/>
                <w:szCs w:val="24"/>
              </w:rPr>
            </w:pPr>
            <w:r>
              <w:rPr>
                <w:rFonts w:ascii="Times New Roman" w:hAnsi="Times New Roman"/>
                <w:sz w:val="24"/>
                <w:szCs w:val="24"/>
              </w:rPr>
              <w:t>0</w:t>
            </w:r>
          </w:p>
        </w:tc>
        <w:tc>
          <w:tcPr>
            <w:tcW w:w="1205" w:type="dxa"/>
            <w:tcBorders>
              <w:top w:val="outset" w:sz="6" w:space="0" w:color="000000"/>
              <w:left w:val="outset" w:sz="6" w:space="0" w:color="000000"/>
              <w:bottom w:val="outset" w:sz="6" w:space="0" w:color="000000"/>
              <w:right w:val="outset" w:sz="6" w:space="0" w:color="000000"/>
            </w:tcBorders>
            <w:shd w:val="clear" w:color="auto" w:fill="auto"/>
          </w:tcPr>
          <w:p w14:paraId="62B34902"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158" w:type="dxa"/>
            <w:tcBorders>
              <w:top w:val="outset" w:sz="6" w:space="0" w:color="000000"/>
              <w:left w:val="outset" w:sz="6" w:space="0" w:color="000000"/>
              <w:bottom w:val="outset" w:sz="6" w:space="0" w:color="000000"/>
              <w:right w:val="outset" w:sz="6" w:space="0" w:color="000000"/>
            </w:tcBorders>
            <w:shd w:val="clear" w:color="auto" w:fill="auto"/>
          </w:tcPr>
          <w:p w14:paraId="1304CAAA" w14:textId="77777777" w:rsidR="001D7C22" w:rsidRPr="003F7DA2" w:rsidRDefault="007654E7" w:rsidP="001D7C22">
            <w:pPr>
              <w:spacing w:after="0" w:line="240" w:lineRule="auto"/>
              <w:rPr>
                <w:rFonts w:ascii="Times New Roman" w:hAnsi="Times New Roman"/>
                <w:sz w:val="24"/>
                <w:szCs w:val="24"/>
              </w:rPr>
            </w:pPr>
            <w:r w:rsidRPr="003F7DA2">
              <w:rPr>
                <w:rFonts w:ascii="Times New Roman" w:hAnsi="Times New Roman"/>
                <w:sz w:val="24"/>
                <w:szCs w:val="24"/>
              </w:rPr>
              <w:t>239740</w:t>
            </w:r>
          </w:p>
        </w:tc>
        <w:tc>
          <w:tcPr>
            <w:tcW w:w="1611" w:type="dxa"/>
            <w:tcBorders>
              <w:top w:val="outset" w:sz="6" w:space="0" w:color="000000"/>
              <w:left w:val="outset" w:sz="6" w:space="0" w:color="000000"/>
              <w:bottom w:val="outset" w:sz="6" w:space="0" w:color="000000"/>
              <w:right w:val="outset" w:sz="6" w:space="0" w:color="000000"/>
            </w:tcBorders>
            <w:shd w:val="clear" w:color="auto" w:fill="auto"/>
          </w:tcPr>
          <w:p w14:paraId="39DF95AE" w14:textId="77777777" w:rsidR="001D7C22" w:rsidRPr="001D7C22" w:rsidRDefault="0061553C" w:rsidP="001D7C22">
            <w:pPr>
              <w:spacing w:after="0" w:line="240" w:lineRule="auto"/>
              <w:rPr>
                <w:rFonts w:ascii="Times New Roman" w:hAnsi="Times New Roman"/>
                <w:sz w:val="24"/>
                <w:szCs w:val="24"/>
              </w:rPr>
            </w:pPr>
            <w:r>
              <w:rPr>
                <w:rFonts w:ascii="Times New Roman" w:hAnsi="Times New Roman"/>
                <w:sz w:val="24"/>
                <w:szCs w:val="24"/>
                <w:lang w:eastAsia="ar-SA"/>
              </w:rPr>
              <w:t>75787</w:t>
            </w:r>
          </w:p>
        </w:tc>
        <w:tc>
          <w:tcPr>
            <w:tcW w:w="963" w:type="dxa"/>
            <w:tcBorders>
              <w:top w:val="outset" w:sz="6" w:space="0" w:color="000000"/>
              <w:left w:val="outset" w:sz="6" w:space="0" w:color="000000"/>
              <w:bottom w:val="outset" w:sz="6" w:space="0" w:color="000000"/>
              <w:right w:val="outset" w:sz="6" w:space="0" w:color="000000"/>
            </w:tcBorders>
            <w:shd w:val="clear" w:color="auto" w:fill="auto"/>
          </w:tcPr>
          <w:p w14:paraId="517DF759" w14:textId="77777777" w:rsidR="001D7C22" w:rsidRPr="001D7C22" w:rsidRDefault="007654E7" w:rsidP="001D7C22">
            <w:pPr>
              <w:spacing w:after="0" w:line="240" w:lineRule="auto"/>
              <w:rPr>
                <w:rFonts w:ascii="Times New Roman" w:hAnsi="Times New Roman"/>
                <w:sz w:val="24"/>
                <w:szCs w:val="24"/>
              </w:rPr>
            </w:pPr>
            <w:r>
              <w:rPr>
                <w:rFonts w:ascii="Times New Roman" w:hAnsi="Times New Roman"/>
                <w:sz w:val="24"/>
                <w:szCs w:val="24"/>
              </w:rPr>
              <w:t>580360</w:t>
            </w:r>
          </w:p>
        </w:tc>
        <w:tc>
          <w:tcPr>
            <w:tcW w:w="1312" w:type="dxa"/>
            <w:tcBorders>
              <w:top w:val="outset" w:sz="6" w:space="0" w:color="000000"/>
              <w:left w:val="outset" w:sz="6" w:space="0" w:color="000000"/>
              <w:bottom w:val="outset" w:sz="6" w:space="0" w:color="000000"/>
              <w:right w:val="outset" w:sz="6" w:space="0" w:color="000000"/>
            </w:tcBorders>
            <w:shd w:val="clear" w:color="auto" w:fill="auto"/>
          </w:tcPr>
          <w:p w14:paraId="6886E194" w14:textId="77777777" w:rsidR="001D7C22" w:rsidRPr="001D7C22" w:rsidRDefault="0061553C" w:rsidP="001D7C22">
            <w:pPr>
              <w:spacing w:after="0" w:line="240" w:lineRule="auto"/>
              <w:rPr>
                <w:rFonts w:ascii="Times New Roman" w:hAnsi="Times New Roman"/>
                <w:sz w:val="24"/>
                <w:szCs w:val="24"/>
              </w:rPr>
            </w:pPr>
            <w:r>
              <w:rPr>
                <w:rFonts w:ascii="Times New Roman" w:hAnsi="Times New Roman"/>
                <w:sz w:val="24"/>
                <w:szCs w:val="24"/>
              </w:rPr>
              <w:t>416407</w:t>
            </w:r>
          </w:p>
        </w:tc>
        <w:tc>
          <w:tcPr>
            <w:tcW w:w="1221" w:type="dxa"/>
            <w:shd w:val="clear" w:color="auto" w:fill="auto"/>
          </w:tcPr>
          <w:p w14:paraId="1988D936" w14:textId="77777777" w:rsidR="001D7C22" w:rsidRPr="001D7C22" w:rsidRDefault="0061553C" w:rsidP="001D7C22">
            <w:pPr>
              <w:spacing w:after="0" w:line="240" w:lineRule="auto"/>
              <w:rPr>
                <w:rFonts w:ascii="Times New Roman" w:hAnsi="Times New Roman"/>
                <w:sz w:val="24"/>
                <w:szCs w:val="24"/>
              </w:rPr>
            </w:pPr>
            <w:r>
              <w:rPr>
                <w:rFonts w:ascii="Times New Roman" w:hAnsi="Times New Roman"/>
                <w:sz w:val="24"/>
                <w:szCs w:val="24"/>
              </w:rPr>
              <w:t>352407</w:t>
            </w:r>
          </w:p>
        </w:tc>
      </w:tr>
      <w:tr w:rsidR="001D7C22" w:rsidRPr="00456625" w14:paraId="4D8BAC19" w14:textId="77777777" w:rsidTr="00045EBA">
        <w:tc>
          <w:tcPr>
            <w:tcW w:w="1413" w:type="dxa"/>
            <w:shd w:val="clear" w:color="auto" w:fill="auto"/>
          </w:tcPr>
          <w:p w14:paraId="07A61982"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1.1. valsts pamatbudžets, tai skaitā ieņēmumi no maksas pakalpojumiem un citi pašu ieņēmumi</w:t>
            </w:r>
          </w:p>
        </w:tc>
        <w:tc>
          <w:tcPr>
            <w:tcW w:w="1176" w:type="dxa"/>
            <w:tcBorders>
              <w:top w:val="outset" w:sz="6" w:space="0" w:color="000000"/>
              <w:left w:val="outset" w:sz="6" w:space="0" w:color="000000"/>
              <w:bottom w:val="outset" w:sz="6" w:space="0" w:color="000000"/>
              <w:right w:val="outset" w:sz="6" w:space="0" w:color="000000"/>
            </w:tcBorders>
            <w:shd w:val="clear" w:color="auto" w:fill="auto"/>
          </w:tcPr>
          <w:p w14:paraId="0A2D5264" w14:textId="77777777" w:rsidR="001D7C22" w:rsidRPr="001D7C22" w:rsidRDefault="001D7C22" w:rsidP="001D7C22">
            <w:pPr>
              <w:spacing w:after="0" w:line="240" w:lineRule="auto"/>
              <w:rPr>
                <w:rFonts w:ascii="Times New Roman" w:hAnsi="Times New Roman"/>
                <w:sz w:val="24"/>
                <w:szCs w:val="24"/>
              </w:rPr>
            </w:pPr>
            <w:r>
              <w:rPr>
                <w:rFonts w:ascii="Times New Roman" w:hAnsi="Times New Roman"/>
                <w:sz w:val="24"/>
                <w:szCs w:val="24"/>
              </w:rPr>
              <w:t>0</w:t>
            </w:r>
          </w:p>
        </w:tc>
        <w:tc>
          <w:tcPr>
            <w:tcW w:w="1205" w:type="dxa"/>
            <w:tcBorders>
              <w:top w:val="outset" w:sz="6" w:space="0" w:color="000000"/>
              <w:left w:val="outset" w:sz="6" w:space="0" w:color="000000"/>
              <w:bottom w:val="outset" w:sz="6" w:space="0" w:color="000000"/>
              <w:right w:val="outset" w:sz="6" w:space="0" w:color="000000"/>
            </w:tcBorders>
            <w:shd w:val="clear" w:color="auto" w:fill="auto"/>
          </w:tcPr>
          <w:p w14:paraId="07BE88B8"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158" w:type="dxa"/>
            <w:tcBorders>
              <w:top w:val="outset" w:sz="6" w:space="0" w:color="000000"/>
              <w:left w:val="outset" w:sz="6" w:space="0" w:color="000000"/>
              <w:bottom w:val="outset" w:sz="6" w:space="0" w:color="000000"/>
              <w:right w:val="outset" w:sz="6" w:space="0" w:color="000000"/>
            </w:tcBorders>
            <w:shd w:val="clear" w:color="auto" w:fill="auto"/>
          </w:tcPr>
          <w:p w14:paraId="338FABC6" w14:textId="77777777" w:rsidR="001D7C22" w:rsidRPr="003F7DA2" w:rsidRDefault="007654E7" w:rsidP="001D7C22">
            <w:pPr>
              <w:spacing w:after="0" w:line="240" w:lineRule="auto"/>
              <w:rPr>
                <w:rFonts w:ascii="Times New Roman" w:hAnsi="Times New Roman"/>
                <w:sz w:val="24"/>
                <w:szCs w:val="24"/>
              </w:rPr>
            </w:pPr>
            <w:r w:rsidRPr="003F7DA2">
              <w:rPr>
                <w:rFonts w:ascii="Times New Roman" w:hAnsi="Times New Roman"/>
                <w:sz w:val="24"/>
                <w:szCs w:val="24"/>
              </w:rPr>
              <w:t>239740</w:t>
            </w:r>
          </w:p>
        </w:tc>
        <w:tc>
          <w:tcPr>
            <w:tcW w:w="1611" w:type="dxa"/>
            <w:tcBorders>
              <w:top w:val="outset" w:sz="6" w:space="0" w:color="000000"/>
              <w:left w:val="outset" w:sz="6" w:space="0" w:color="000000"/>
              <w:bottom w:val="outset" w:sz="6" w:space="0" w:color="000000"/>
              <w:right w:val="outset" w:sz="6" w:space="0" w:color="000000"/>
            </w:tcBorders>
            <w:shd w:val="clear" w:color="auto" w:fill="auto"/>
          </w:tcPr>
          <w:p w14:paraId="29BD95DC" w14:textId="77777777" w:rsidR="001D7C22" w:rsidRPr="001D7C22" w:rsidRDefault="0061553C" w:rsidP="001D7C22">
            <w:pPr>
              <w:spacing w:after="0" w:line="240" w:lineRule="auto"/>
              <w:rPr>
                <w:rFonts w:ascii="Times New Roman" w:hAnsi="Times New Roman"/>
                <w:sz w:val="24"/>
                <w:szCs w:val="24"/>
              </w:rPr>
            </w:pPr>
            <w:r>
              <w:rPr>
                <w:rFonts w:ascii="Times New Roman" w:hAnsi="Times New Roman"/>
                <w:sz w:val="24"/>
                <w:szCs w:val="24"/>
                <w:lang w:eastAsia="ar-SA"/>
              </w:rPr>
              <w:t>75787</w:t>
            </w:r>
          </w:p>
        </w:tc>
        <w:tc>
          <w:tcPr>
            <w:tcW w:w="963" w:type="dxa"/>
            <w:tcBorders>
              <w:top w:val="outset" w:sz="6" w:space="0" w:color="000000"/>
              <w:left w:val="outset" w:sz="6" w:space="0" w:color="000000"/>
              <w:bottom w:val="outset" w:sz="6" w:space="0" w:color="000000"/>
              <w:right w:val="outset" w:sz="6" w:space="0" w:color="000000"/>
            </w:tcBorders>
            <w:shd w:val="clear" w:color="auto" w:fill="auto"/>
          </w:tcPr>
          <w:p w14:paraId="692AE4F9" w14:textId="77777777" w:rsidR="001D7C22" w:rsidRPr="001D7C22" w:rsidRDefault="007654E7" w:rsidP="001D7C22">
            <w:pPr>
              <w:spacing w:after="0" w:line="240" w:lineRule="auto"/>
              <w:rPr>
                <w:rFonts w:ascii="Times New Roman" w:hAnsi="Times New Roman"/>
                <w:sz w:val="24"/>
                <w:szCs w:val="24"/>
              </w:rPr>
            </w:pPr>
            <w:r>
              <w:rPr>
                <w:rFonts w:ascii="Times New Roman" w:hAnsi="Times New Roman"/>
                <w:sz w:val="24"/>
                <w:szCs w:val="24"/>
              </w:rPr>
              <w:t>580360</w:t>
            </w:r>
          </w:p>
        </w:tc>
        <w:tc>
          <w:tcPr>
            <w:tcW w:w="1312" w:type="dxa"/>
            <w:tcBorders>
              <w:top w:val="outset" w:sz="6" w:space="0" w:color="000000"/>
              <w:left w:val="outset" w:sz="6" w:space="0" w:color="000000"/>
              <w:bottom w:val="outset" w:sz="6" w:space="0" w:color="000000"/>
              <w:right w:val="outset" w:sz="6" w:space="0" w:color="000000"/>
            </w:tcBorders>
            <w:shd w:val="clear" w:color="auto" w:fill="auto"/>
          </w:tcPr>
          <w:p w14:paraId="2D9F0C4F" w14:textId="77777777" w:rsidR="001D7C22" w:rsidRPr="001D7C22" w:rsidRDefault="0061553C" w:rsidP="001D7C22">
            <w:pPr>
              <w:spacing w:after="0" w:line="240" w:lineRule="auto"/>
              <w:rPr>
                <w:rFonts w:ascii="Times New Roman" w:hAnsi="Times New Roman"/>
                <w:sz w:val="24"/>
                <w:szCs w:val="24"/>
              </w:rPr>
            </w:pPr>
            <w:r>
              <w:rPr>
                <w:rFonts w:ascii="Times New Roman" w:hAnsi="Times New Roman"/>
                <w:sz w:val="24"/>
                <w:szCs w:val="24"/>
              </w:rPr>
              <w:t>416407</w:t>
            </w:r>
          </w:p>
        </w:tc>
        <w:tc>
          <w:tcPr>
            <w:tcW w:w="1221" w:type="dxa"/>
            <w:shd w:val="clear" w:color="auto" w:fill="auto"/>
          </w:tcPr>
          <w:p w14:paraId="49A80319" w14:textId="77777777" w:rsidR="001D7C22" w:rsidRPr="001D7C22" w:rsidRDefault="0061553C" w:rsidP="001D7C22">
            <w:pPr>
              <w:spacing w:after="0" w:line="240" w:lineRule="auto"/>
              <w:rPr>
                <w:rFonts w:ascii="Times New Roman" w:hAnsi="Times New Roman"/>
                <w:sz w:val="24"/>
                <w:szCs w:val="24"/>
              </w:rPr>
            </w:pPr>
            <w:r>
              <w:rPr>
                <w:rFonts w:ascii="Times New Roman" w:hAnsi="Times New Roman"/>
                <w:sz w:val="24"/>
                <w:szCs w:val="24"/>
              </w:rPr>
              <w:t>352407</w:t>
            </w:r>
          </w:p>
        </w:tc>
      </w:tr>
      <w:tr w:rsidR="001D7C22" w:rsidRPr="00456625" w14:paraId="35C3DAF1" w14:textId="77777777" w:rsidTr="00045EBA">
        <w:tc>
          <w:tcPr>
            <w:tcW w:w="1413" w:type="dxa"/>
            <w:shd w:val="clear" w:color="auto" w:fill="auto"/>
          </w:tcPr>
          <w:p w14:paraId="02562902"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1.2. valsts speciālais budžets</w:t>
            </w:r>
          </w:p>
        </w:tc>
        <w:tc>
          <w:tcPr>
            <w:tcW w:w="1176" w:type="dxa"/>
            <w:shd w:val="clear" w:color="auto" w:fill="auto"/>
          </w:tcPr>
          <w:p w14:paraId="3E6FD0BF"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205" w:type="dxa"/>
            <w:shd w:val="clear" w:color="auto" w:fill="auto"/>
          </w:tcPr>
          <w:p w14:paraId="62A810DE"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158" w:type="dxa"/>
            <w:shd w:val="clear" w:color="auto" w:fill="auto"/>
          </w:tcPr>
          <w:p w14:paraId="649C118D"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611" w:type="dxa"/>
            <w:shd w:val="clear" w:color="auto" w:fill="auto"/>
          </w:tcPr>
          <w:p w14:paraId="525A468F"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963" w:type="dxa"/>
            <w:shd w:val="clear" w:color="auto" w:fill="auto"/>
          </w:tcPr>
          <w:p w14:paraId="6C51AAD9"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312" w:type="dxa"/>
            <w:shd w:val="clear" w:color="auto" w:fill="auto"/>
          </w:tcPr>
          <w:p w14:paraId="14142AF0"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221" w:type="dxa"/>
            <w:shd w:val="clear" w:color="auto" w:fill="auto"/>
          </w:tcPr>
          <w:p w14:paraId="64C00670"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r>
      <w:tr w:rsidR="001D7C22" w:rsidRPr="00456625" w14:paraId="14F054AE" w14:textId="77777777" w:rsidTr="00045EBA">
        <w:tc>
          <w:tcPr>
            <w:tcW w:w="1413" w:type="dxa"/>
            <w:shd w:val="clear" w:color="auto" w:fill="auto"/>
          </w:tcPr>
          <w:p w14:paraId="35B32ABD"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1.3. pašvaldību budžets</w:t>
            </w:r>
          </w:p>
        </w:tc>
        <w:tc>
          <w:tcPr>
            <w:tcW w:w="1176" w:type="dxa"/>
            <w:shd w:val="clear" w:color="auto" w:fill="auto"/>
          </w:tcPr>
          <w:p w14:paraId="357B70AC"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205" w:type="dxa"/>
            <w:shd w:val="clear" w:color="auto" w:fill="auto"/>
          </w:tcPr>
          <w:p w14:paraId="5B9E526C"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158" w:type="dxa"/>
            <w:shd w:val="clear" w:color="auto" w:fill="auto"/>
          </w:tcPr>
          <w:p w14:paraId="63CCCE34"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611" w:type="dxa"/>
            <w:shd w:val="clear" w:color="auto" w:fill="auto"/>
          </w:tcPr>
          <w:p w14:paraId="430F79FB"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963" w:type="dxa"/>
            <w:shd w:val="clear" w:color="auto" w:fill="auto"/>
          </w:tcPr>
          <w:p w14:paraId="43C76AE6"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312" w:type="dxa"/>
            <w:shd w:val="clear" w:color="auto" w:fill="auto"/>
          </w:tcPr>
          <w:p w14:paraId="545CD5CA"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221" w:type="dxa"/>
            <w:shd w:val="clear" w:color="auto" w:fill="auto"/>
          </w:tcPr>
          <w:p w14:paraId="0882973B"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r>
      <w:tr w:rsidR="001D7C22" w:rsidRPr="00157971" w14:paraId="4F2F2B90" w14:textId="77777777" w:rsidTr="00045EBA">
        <w:tc>
          <w:tcPr>
            <w:tcW w:w="1413" w:type="dxa"/>
            <w:shd w:val="clear" w:color="auto" w:fill="auto"/>
          </w:tcPr>
          <w:p w14:paraId="62ED4B0F"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2. Budžeta izdevumi</w:t>
            </w:r>
          </w:p>
        </w:tc>
        <w:tc>
          <w:tcPr>
            <w:tcW w:w="1176" w:type="dxa"/>
            <w:tcBorders>
              <w:top w:val="outset" w:sz="6" w:space="0" w:color="000000"/>
              <w:left w:val="outset" w:sz="6" w:space="0" w:color="000000"/>
              <w:bottom w:val="outset" w:sz="6" w:space="0" w:color="000000"/>
              <w:right w:val="outset" w:sz="6" w:space="0" w:color="000000"/>
            </w:tcBorders>
            <w:shd w:val="clear" w:color="auto" w:fill="auto"/>
          </w:tcPr>
          <w:p w14:paraId="446572F6" w14:textId="77777777" w:rsidR="001D7C22" w:rsidRPr="001D7C22" w:rsidRDefault="001D7C22" w:rsidP="001D7C22">
            <w:pPr>
              <w:spacing w:after="0" w:line="240" w:lineRule="auto"/>
              <w:rPr>
                <w:rFonts w:ascii="Times New Roman" w:hAnsi="Times New Roman"/>
                <w:sz w:val="24"/>
                <w:szCs w:val="24"/>
              </w:rPr>
            </w:pPr>
            <w:r>
              <w:rPr>
                <w:rFonts w:ascii="Times New Roman" w:hAnsi="Times New Roman"/>
                <w:sz w:val="24"/>
                <w:szCs w:val="24"/>
              </w:rPr>
              <w:t>0</w:t>
            </w:r>
          </w:p>
        </w:tc>
        <w:tc>
          <w:tcPr>
            <w:tcW w:w="1205" w:type="dxa"/>
            <w:tcBorders>
              <w:top w:val="outset" w:sz="6" w:space="0" w:color="000000"/>
              <w:left w:val="outset" w:sz="6" w:space="0" w:color="000000"/>
              <w:bottom w:val="outset" w:sz="6" w:space="0" w:color="000000"/>
              <w:right w:val="outset" w:sz="6" w:space="0" w:color="000000"/>
            </w:tcBorders>
            <w:shd w:val="clear" w:color="auto" w:fill="auto"/>
          </w:tcPr>
          <w:p w14:paraId="02F83285" w14:textId="77777777" w:rsidR="001D7C22" w:rsidRPr="001D7C22" w:rsidRDefault="001D7C22" w:rsidP="001D7C22">
            <w:pPr>
              <w:spacing w:after="0" w:line="240" w:lineRule="auto"/>
              <w:rPr>
                <w:rFonts w:ascii="Times New Roman" w:hAnsi="Times New Roman"/>
                <w:sz w:val="24"/>
                <w:szCs w:val="24"/>
              </w:rPr>
            </w:pPr>
            <w:r>
              <w:rPr>
                <w:rFonts w:ascii="Times New Roman" w:hAnsi="Times New Roman"/>
                <w:sz w:val="24"/>
                <w:szCs w:val="24"/>
              </w:rPr>
              <w:t>0</w:t>
            </w:r>
          </w:p>
        </w:tc>
        <w:tc>
          <w:tcPr>
            <w:tcW w:w="1158" w:type="dxa"/>
            <w:tcBorders>
              <w:top w:val="outset" w:sz="6" w:space="0" w:color="000000"/>
              <w:left w:val="outset" w:sz="6" w:space="0" w:color="000000"/>
              <w:bottom w:val="outset" w:sz="6" w:space="0" w:color="000000"/>
              <w:right w:val="outset" w:sz="6" w:space="0" w:color="000000"/>
            </w:tcBorders>
            <w:shd w:val="clear" w:color="auto" w:fill="auto"/>
          </w:tcPr>
          <w:p w14:paraId="06B6C20E"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611" w:type="dxa"/>
            <w:tcBorders>
              <w:top w:val="outset" w:sz="6" w:space="0" w:color="000000"/>
              <w:left w:val="outset" w:sz="6" w:space="0" w:color="000000"/>
              <w:bottom w:val="outset" w:sz="6" w:space="0" w:color="000000"/>
              <w:right w:val="outset" w:sz="6" w:space="0" w:color="000000"/>
            </w:tcBorders>
            <w:shd w:val="clear" w:color="auto" w:fill="auto"/>
          </w:tcPr>
          <w:p w14:paraId="2C3F4D3C"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lang w:eastAsia="ar-SA"/>
              </w:rPr>
              <w:t>0</w:t>
            </w:r>
          </w:p>
        </w:tc>
        <w:tc>
          <w:tcPr>
            <w:tcW w:w="963" w:type="dxa"/>
            <w:tcBorders>
              <w:top w:val="outset" w:sz="6" w:space="0" w:color="000000"/>
              <w:left w:val="outset" w:sz="6" w:space="0" w:color="000000"/>
              <w:bottom w:val="outset" w:sz="6" w:space="0" w:color="000000"/>
              <w:right w:val="outset" w:sz="6" w:space="0" w:color="000000"/>
            </w:tcBorders>
            <w:shd w:val="clear" w:color="auto" w:fill="auto"/>
          </w:tcPr>
          <w:p w14:paraId="1382BF79"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312" w:type="dxa"/>
            <w:tcBorders>
              <w:top w:val="outset" w:sz="6" w:space="0" w:color="000000"/>
              <w:left w:val="outset" w:sz="6" w:space="0" w:color="000000"/>
              <w:bottom w:val="outset" w:sz="6" w:space="0" w:color="000000"/>
              <w:right w:val="outset" w:sz="6" w:space="0" w:color="000000"/>
            </w:tcBorders>
            <w:shd w:val="clear" w:color="auto" w:fill="auto"/>
          </w:tcPr>
          <w:p w14:paraId="19F83088"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lang w:eastAsia="ar-SA"/>
              </w:rPr>
              <w:t>0</w:t>
            </w:r>
          </w:p>
        </w:tc>
        <w:tc>
          <w:tcPr>
            <w:tcW w:w="1221" w:type="dxa"/>
            <w:shd w:val="clear" w:color="auto" w:fill="auto"/>
          </w:tcPr>
          <w:p w14:paraId="616A89A3"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r>
      <w:tr w:rsidR="001D7C22" w:rsidRPr="00157971" w14:paraId="0EB4729A" w14:textId="77777777" w:rsidTr="00045EBA">
        <w:tc>
          <w:tcPr>
            <w:tcW w:w="1413" w:type="dxa"/>
            <w:shd w:val="clear" w:color="auto" w:fill="auto"/>
          </w:tcPr>
          <w:p w14:paraId="5FA70056"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2.1. valsts pamatbudžets</w:t>
            </w:r>
          </w:p>
        </w:tc>
        <w:tc>
          <w:tcPr>
            <w:tcW w:w="1176" w:type="dxa"/>
            <w:tcBorders>
              <w:top w:val="outset" w:sz="6" w:space="0" w:color="000000"/>
              <w:left w:val="outset" w:sz="6" w:space="0" w:color="000000"/>
              <w:bottom w:val="outset" w:sz="6" w:space="0" w:color="000000"/>
              <w:right w:val="outset" w:sz="6" w:space="0" w:color="000000"/>
            </w:tcBorders>
            <w:shd w:val="clear" w:color="auto" w:fill="auto"/>
          </w:tcPr>
          <w:p w14:paraId="24C4D8F5" w14:textId="77777777" w:rsidR="001D7C22" w:rsidRPr="001D7C22" w:rsidRDefault="001D7C22" w:rsidP="001D7C22">
            <w:pPr>
              <w:spacing w:after="0" w:line="240" w:lineRule="auto"/>
              <w:rPr>
                <w:rFonts w:ascii="Times New Roman" w:hAnsi="Times New Roman"/>
                <w:sz w:val="24"/>
                <w:szCs w:val="24"/>
              </w:rPr>
            </w:pPr>
            <w:r>
              <w:rPr>
                <w:rFonts w:ascii="Times New Roman" w:hAnsi="Times New Roman"/>
                <w:sz w:val="24"/>
                <w:szCs w:val="24"/>
              </w:rPr>
              <w:t>0</w:t>
            </w:r>
          </w:p>
        </w:tc>
        <w:tc>
          <w:tcPr>
            <w:tcW w:w="1205" w:type="dxa"/>
            <w:tcBorders>
              <w:top w:val="outset" w:sz="6" w:space="0" w:color="000000"/>
              <w:left w:val="outset" w:sz="6" w:space="0" w:color="000000"/>
              <w:bottom w:val="outset" w:sz="6" w:space="0" w:color="000000"/>
              <w:right w:val="outset" w:sz="6" w:space="0" w:color="000000"/>
            </w:tcBorders>
            <w:shd w:val="clear" w:color="auto" w:fill="auto"/>
          </w:tcPr>
          <w:p w14:paraId="2EC3F031" w14:textId="77777777" w:rsidR="001D7C22" w:rsidRPr="001D7C22" w:rsidRDefault="001D7C22" w:rsidP="001D7C22">
            <w:pPr>
              <w:spacing w:after="0" w:line="240" w:lineRule="auto"/>
              <w:rPr>
                <w:rFonts w:ascii="Times New Roman" w:hAnsi="Times New Roman"/>
                <w:sz w:val="24"/>
                <w:szCs w:val="24"/>
              </w:rPr>
            </w:pPr>
            <w:r>
              <w:rPr>
                <w:rFonts w:ascii="Times New Roman" w:hAnsi="Times New Roman"/>
                <w:sz w:val="24"/>
                <w:szCs w:val="24"/>
              </w:rPr>
              <w:t>0</w:t>
            </w:r>
          </w:p>
        </w:tc>
        <w:tc>
          <w:tcPr>
            <w:tcW w:w="1158" w:type="dxa"/>
            <w:tcBorders>
              <w:top w:val="outset" w:sz="6" w:space="0" w:color="000000"/>
              <w:left w:val="outset" w:sz="6" w:space="0" w:color="000000"/>
              <w:bottom w:val="outset" w:sz="6" w:space="0" w:color="000000"/>
              <w:right w:val="outset" w:sz="6" w:space="0" w:color="000000"/>
            </w:tcBorders>
            <w:shd w:val="clear" w:color="auto" w:fill="auto"/>
          </w:tcPr>
          <w:p w14:paraId="2DE262B1"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611" w:type="dxa"/>
            <w:tcBorders>
              <w:top w:val="outset" w:sz="6" w:space="0" w:color="000000"/>
              <w:left w:val="outset" w:sz="6" w:space="0" w:color="000000"/>
              <w:bottom w:val="outset" w:sz="6" w:space="0" w:color="000000"/>
              <w:right w:val="outset" w:sz="6" w:space="0" w:color="000000"/>
            </w:tcBorders>
            <w:shd w:val="clear" w:color="auto" w:fill="auto"/>
          </w:tcPr>
          <w:p w14:paraId="60F0E070"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lang w:eastAsia="ar-SA"/>
              </w:rPr>
              <w:t>0</w:t>
            </w:r>
          </w:p>
        </w:tc>
        <w:tc>
          <w:tcPr>
            <w:tcW w:w="963" w:type="dxa"/>
            <w:tcBorders>
              <w:top w:val="outset" w:sz="6" w:space="0" w:color="000000"/>
              <w:left w:val="outset" w:sz="6" w:space="0" w:color="000000"/>
              <w:bottom w:val="outset" w:sz="6" w:space="0" w:color="000000"/>
              <w:right w:val="outset" w:sz="6" w:space="0" w:color="000000"/>
            </w:tcBorders>
            <w:shd w:val="clear" w:color="auto" w:fill="auto"/>
          </w:tcPr>
          <w:p w14:paraId="13DF151D"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312" w:type="dxa"/>
            <w:tcBorders>
              <w:top w:val="outset" w:sz="6" w:space="0" w:color="000000"/>
              <w:left w:val="outset" w:sz="6" w:space="0" w:color="000000"/>
              <w:bottom w:val="outset" w:sz="6" w:space="0" w:color="000000"/>
              <w:right w:val="outset" w:sz="6" w:space="0" w:color="000000"/>
            </w:tcBorders>
            <w:shd w:val="clear" w:color="auto" w:fill="auto"/>
          </w:tcPr>
          <w:p w14:paraId="7039A6A4"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lang w:eastAsia="ar-SA"/>
              </w:rPr>
              <w:t>0</w:t>
            </w:r>
          </w:p>
        </w:tc>
        <w:tc>
          <w:tcPr>
            <w:tcW w:w="1221" w:type="dxa"/>
            <w:shd w:val="clear" w:color="auto" w:fill="auto"/>
          </w:tcPr>
          <w:p w14:paraId="6EBAC8C0"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r>
      <w:tr w:rsidR="001D7C22" w:rsidRPr="00157971" w14:paraId="4CE1A05E" w14:textId="77777777" w:rsidTr="00045EBA">
        <w:tc>
          <w:tcPr>
            <w:tcW w:w="1413" w:type="dxa"/>
            <w:shd w:val="clear" w:color="auto" w:fill="auto"/>
          </w:tcPr>
          <w:p w14:paraId="3B9D335F"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2.2. valsts speciālais budžets</w:t>
            </w:r>
          </w:p>
        </w:tc>
        <w:tc>
          <w:tcPr>
            <w:tcW w:w="1176" w:type="dxa"/>
            <w:shd w:val="clear" w:color="auto" w:fill="auto"/>
          </w:tcPr>
          <w:p w14:paraId="18C88A8C"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205" w:type="dxa"/>
            <w:shd w:val="clear" w:color="auto" w:fill="auto"/>
          </w:tcPr>
          <w:p w14:paraId="6077D7D4"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158" w:type="dxa"/>
            <w:shd w:val="clear" w:color="auto" w:fill="auto"/>
          </w:tcPr>
          <w:p w14:paraId="709FB7FB"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611" w:type="dxa"/>
            <w:shd w:val="clear" w:color="auto" w:fill="auto"/>
          </w:tcPr>
          <w:p w14:paraId="3A61FB77"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963" w:type="dxa"/>
            <w:shd w:val="clear" w:color="auto" w:fill="auto"/>
          </w:tcPr>
          <w:p w14:paraId="5BF8D1A1"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312" w:type="dxa"/>
            <w:shd w:val="clear" w:color="auto" w:fill="auto"/>
          </w:tcPr>
          <w:p w14:paraId="738EFFAD"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221" w:type="dxa"/>
            <w:shd w:val="clear" w:color="auto" w:fill="auto"/>
          </w:tcPr>
          <w:p w14:paraId="4FF38928"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r>
      <w:tr w:rsidR="001D7C22" w:rsidRPr="00157971" w14:paraId="3FFE277C" w14:textId="77777777" w:rsidTr="00045EBA">
        <w:tc>
          <w:tcPr>
            <w:tcW w:w="1413" w:type="dxa"/>
            <w:shd w:val="clear" w:color="auto" w:fill="auto"/>
          </w:tcPr>
          <w:p w14:paraId="06D21204"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2.3. pašvaldību budžets</w:t>
            </w:r>
          </w:p>
        </w:tc>
        <w:tc>
          <w:tcPr>
            <w:tcW w:w="1176" w:type="dxa"/>
            <w:shd w:val="clear" w:color="auto" w:fill="auto"/>
          </w:tcPr>
          <w:p w14:paraId="4409CB17"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205" w:type="dxa"/>
            <w:shd w:val="clear" w:color="auto" w:fill="auto"/>
          </w:tcPr>
          <w:p w14:paraId="46C10E91"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158" w:type="dxa"/>
            <w:shd w:val="clear" w:color="auto" w:fill="auto"/>
          </w:tcPr>
          <w:p w14:paraId="7758A903"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611" w:type="dxa"/>
            <w:shd w:val="clear" w:color="auto" w:fill="auto"/>
          </w:tcPr>
          <w:p w14:paraId="1F58DE37"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963" w:type="dxa"/>
            <w:shd w:val="clear" w:color="auto" w:fill="auto"/>
          </w:tcPr>
          <w:p w14:paraId="2F519CDA"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312" w:type="dxa"/>
            <w:shd w:val="clear" w:color="auto" w:fill="auto"/>
          </w:tcPr>
          <w:p w14:paraId="68FB2BDD"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221" w:type="dxa"/>
            <w:shd w:val="clear" w:color="auto" w:fill="auto"/>
          </w:tcPr>
          <w:p w14:paraId="06CEA0DE"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r>
      <w:tr w:rsidR="001D7C22" w:rsidRPr="00157971" w14:paraId="4737E9B4" w14:textId="77777777" w:rsidTr="00045EBA">
        <w:tc>
          <w:tcPr>
            <w:tcW w:w="1413" w:type="dxa"/>
            <w:shd w:val="clear" w:color="auto" w:fill="auto"/>
          </w:tcPr>
          <w:p w14:paraId="143D9ACA"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lastRenderedPageBreak/>
              <w:t>3. Finansiālā ietekme</w:t>
            </w:r>
          </w:p>
        </w:tc>
        <w:tc>
          <w:tcPr>
            <w:tcW w:w="1176" w:type="dxa"/>
            <w:shd w:val="clear" w:color="auto" w:fill="auto"/>
          </w:tcPr>
          <w:p w14:paraId="1A67E996"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205" w:type="dxa"/>
            <w:shd w:val="clear" w:color="auto" w:fill="auto"/>
          </w:tcPr>
          <w:p w14:paraId="1F78EDCB"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158" w:type="dxa"/>
            <w:shd w:val="clear" w:color="auto" w:fill="auto"/>
          </w:tcPr>
          <w:p w14:paraId="7D475777" w14:textId="77777777" w:rsidR="001D7C22" w:rsidRPr="003F7DA2" w:rsidRDefault="00ED55DB" w:rsidP="001D7C22">
            <w:pPr>
              <w:spacing w:after="0" w:line="240" w:lineRule="auto"/>
              <w:rPr>
                <w:rFonts w:ascii="Times New Roman" w:hAnsi="Times New Roman"/>
                <w:sz w:val="24"/>
                <w:szCs w:val="24"/>
              </w:rPr>
            </w:pPr>
            <w:r w:rsidRPr="003F7DA2">
              <w:rPr>
                <w:rFonts w:ascii="Times New Roman" w:hAnsi="Times New Roman"/>
                <w:sz w:val="24"/>
                <w:szCs w:val="24"/>
              </w:rPr>
              <w:t>239740</w:t>
            </w:r>
          </w:p>
        </w:tc>
        <w:tc>
          <w:tcPr>
            <w:tcW w:w="1611" w:type="dxa"/>
            <w:shd w:val="clear" w:color="auto" w:fill="auto"/>
          </w:tcPr>
          <w:p w14:paraId="34F35E73" w14:textId="77777777" w:rsidR="001D7C22" w:rsidRPr="003F7DA2" w:rsidRDefault="0061553C" w:rsidP="001D7C22">
            <w:pPr>
              <w:spacing w:after="0" w:line="240" w:lineRule="auto"/>
              <w:rPr>
                <w:rFonts w:ascii="Times New Roman" w:hAnsi="Times New Roman"/>
                <w:sz w:val="24"/>
                <w:szCs w:val="24"/>
              </w:rPr>
            </w:pPr>
            <w:r>
              <w:rPr>
                <w:rFonts w:ascii="Times New Roman" w:hAnsi="Times New Roman"/>
                <w:sz w:val="24"/>
                <w:szCs w:val="24"/>
              </w:rPr>
              <w:t>75787</w:t>
            </w:r>
          </w:p>
        </w:tc>
        <w:tc>
          <w:tcPr>
            <w:tcW w:w="963" w:type="dxa"/>
            <w:shd w:val="clear" w:color="auto" w:fill="auto"/>
          </w:tcPr>
          <w:p w14:paraId="777B431B" w14:textId="77777777" w:rsidR="001D7C22" w:rsidRPr="001D7C22" w:rsidRDefault="00ED55DB" w:rsidP="001D7C22">
            <w:pPr>
              <w:spacing w:after="0" w:line="240" w:lineRule="auto"/>
              <w:rPr>
                <w:rFonts w:ascii="Times New Roman" w:hAnsi="Times New Roman"/>
                <w:sz w:val="24"/>
                <w:szCs w:val="24"/>
              </w:rPr>
            </w:pPr>
            <w:r>
              <w:rPr>
                <w:rFonts w:ascii="Times New Roman" w:hAnsi="Times New Roman"/>
                <w:sz w:val="24"/>
                <w:szCs w:val="24"/>
              </w:rPr>
              <w:t>580360</w:t>
            </w:r>
          </w:p>
        </w:tc>
        <w:tc>
          <w:tcPr>
            <w:tcW w:w="1312" w:type="dxa"/>
            <w:shd w:val="clear" w:color="auto" w:fill="auto"/>
          </w:tcPr>
          <w:p w14:paraId="4ECA6123" w14:textId="77777777" w:rsidR="001D7C22" w:rsidRPr="001D7C22" w:rsidRDefault="0061553C" w:rsidP="001D7C22">
            <w:pPr>
              <w:spacing w:after="0" w:line="240" w:lineRule="auto"/>
              <w:rPr>
                <w:rFonts w:ascii="Times New Roman" w:hAnsi="Times New Roman"/>
                <w:sz w:val="24"/>
                <w:szCs w:val="24"/>
              </w:rPr>
            </w:pPr>
            <w:r>
              <w:rPr>
                <w:rFonts w:ascii="Times New Roman" w:hAnsi="Times New Roman"/>
                <w:sz w:val="24"/>
                <w:szCs w:val="24"/>
              </w:rPr>
              <w:t>416407</w:t>
            </w:r>
          </w:p>
        </w:tc>
        <w:tc>
          <w:tcPr>
            <w:tcW w:w="1221" w:type="dxa"/>
            <w:shd w:val="clear" w:color="auto" w:fill="auto"/>
          </w:tcPr>
          <w:p w14:paraId="44FD5F25" w14:textId="77777777" w:rsidR="001D7C22" w:rsidRPr="001D7C22" w:rsidRDefault="0061553C" w:rsidP="001D7C22">
            <w:pPr>
              <w:spacing w:after="0" w:line="240" w:lineRule="auto"/>
              <w:rPr>
                <w:rFonts w:ascii="Times New Roman" w:hAnsi="Times New Roman"/>
                <w:sz w:val="24"/>
                <w:szCs w:val="24"/>
              </w:rPr>
            </w:pPr>
            <w:r>
              <w:rPr>
                <w:rFonts w:ascii="Times New Roman" w:hAnsi="Times New Roman"/>
                <w:sz w:val="24"/>
                <w:szCs w:val="24"/>
              </w:rPr>
              <w:t>352407</w:t>
            </w:r>
          </w:p>
        </w:tc>
      </w:tr>
      <w:tr w:rsidR="001D7C22" w:rsidRPr="00157971" w14:paraId="57C4C724" w14:textId="77777777" w:rsidTr="00045EBA">
        <w:tc>
          <w:tcPr>
            <w:tcW w:w="1413" w:type="dxa"/>
            <w:shd w:val="clear" w:color="auto" w:fill="auto"/>
          </w:tcPr>
          <w:p w14:paraId="470D815F"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3.1. valsts pamatbudžets</w:t>
            </w:r>
          </w:p>
        </w:tc>
        <w:tc>
          <w:tcPr>
            <w:tcW w:w="1176" w:type="dxa"/>
            <w:shd w:val="clear" w:color="auto" w:fill="auto"/>
          </w:tcPr>
          <w:p w14:paraId="6C28F153"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205" w:type="dxa"/>
            <w:shd w:val="clear" w:color="auto" w:fill="auto"/>
          </w:tcPr>
          <w:p w14:paraId="79BEF8DB"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158" w:type="dxa"/>
            <w:shd w:val="clear" w:color="auto" w:fill="auto"/>
          </w:tcPr>
          <w:p w14:paraId="2E5DE591" w14:textId="77777777" w:rsidR="001D7C22" w:rsidRPr="003F7DA2" w:rsidRDefault="00ED55DB" w:rsidP="001D7C22">
            <w:pPr>
              <w:spacing w:after="0" w:line="240" w:lineRule="auto"/>
              <w:rPr>
                <w:rFonts w:ascii="Times New Roman" w:hAnsi="Times New Roman"/>
                <w:sz w:val="24"/>
                <w:szCs w:val="24"/>
              </w:rPr>
            </w:pPr>
            <w:r w:rsidRPr="003F7DA2">
              <w:rPr>
                <w:rFonts w:ascii="Times New Roman" w:hAnsi="Times New Roman"/>
                <w:sz w:val="24"/>
                <w:szCs w:val="24"/>
              </w:rPr>
              <w:t>239740</w:t>
            </w:r>
          </w:p>
        </w:tc>
        <w:tc>
          <w:tcPr>
            <w:tcW w:w="1611" w:type="dxa"/>
            <w:shd w:val="clear" w:color="auto" w:fill="auto"/>
          </w:tcPr>
          <w:p w14:paraId="633CB6D4" w14:textId="77777777" w:rsidR="001D7C22" w:rsidRPr="002D3D04" w:rsidRDefault="0061553C" w:rsidP="001D7C22">
            <w:pPr>
              <w:spacing w:after="0" w:line="240" w:lineRule="auto"/>
              <w:rPr>
                <w:rFonts w:ascii="Times New Roman" w:hAnsi="Times New Roman"/>
                <w:sz w:val="24"/>
                <w:szCs w:val="24"/>
              </w:rPr>
            </w:pPr>
            <w:r>
              <w:rPr>
                <w:rFonts w:ascii="Times New Roman" w:hAnsi="Times New Roman"/>
                <w:sz w:val="24"/>
                <w:szCs w:val="24"/>
              </w:rPr>
              <w:t>75787</w:t>
            </w:r>
          </w:p>
        </w:tc>
        <w:tc>
          <w:tcPr>
            <w:tcW w:w="963" w:type="dxa"/>
            <w:shd w:val="clear" w:color="auto" w:fill="auto"/>
          </w:tcPr>
          <w:p w14:paraId="2B3EC3F9" w14:textId="77777777" w:rsidR="001D7C22" w:rsidRPr="001D7C22" w:rsidRDefault="00ED55DB" w:rsidP="001D7C22">
            <w:pPr>
              <w:spacing w:after="0" w:line="240" w:lineRule="auto"/>
              <w:rPr>
                <w:rFonts w:ascii="Times New Roman" w:hAnsi="Times New Roman"/>
                <w:sz w:val="24"/>
                <w:szCs w:val="24"/>
              </w:rPr>
            </w:pPr>
            <w:r>
              <w:rPr>
                <w:rFonts w:ascii="Times New Roman" w:hAnsi="Times New Roman"/>
                <w:sz w:val="24"/>
                <w:szCs w:val="24"/>
              </w:rPr>
              <w:t>580360</w:t>
            </w:r>
          </w:p>
        </w:tc>
        <w:tc>
          <w:tcPr>
            <w:tcW w:w="1312" w:type="dxa"/>
            <w:shd w:val="clear" w:color="auto" w:fill="auto"/>
          </w:tcPr>
          <w:p w14:paraId="21F102F2" w14:textId="77777777" w:rsidR="001D7C22" w:rsidRPr="001D7C22" w:rsidRDefault="0061553C" w:rsidP="001D7C22">
            <w:pPr>
              <w:spacing w:after="0" w:line="240" w:lineRule="auto"/>
              <w:rPr>
                <w:rFonts w:ascii="Times New Roman" w:hAnsi="Times New Roman"/>
                <w:sz w:val="24"/>
                <w:szCs w:val="24"/>
              </w:rPr>
            </w:pPr>
            <w:r>
              <w:rPr>
                <w:rFonts w:ascii="Times New Roman" w:hAnsi="Times New Roman"/>
                <w:sz w:val="24"/>
                <w:szCs w:val="24"/>
              </w:rPr>
              <w:t>416407</w:t>
            </w:r>
          </w:p>
        </w:tc>
        <w:tc>
          <w:tcPr>
            <w:tcW w:w="1221" w:type="dxa"/>
            <w:shd w:val="clear" w:color="auto" w:fill="auto"/>
          </w:tcPr>
          <w:p w14:paraId="360ACF70" w14:textId="77777777" w:rsidR="001D7C22" w:rsidRPr="001D7C22" w:rsidRDefault="0061553C" w:rsidP="001D7C22">
            <w:pPr>
              <w:spacing w:after="0" w:line="240" w:lineRule="auto"/>
              <w:rPr>
                <w:rFonts w:ascii="Times New Roman" w:hAnsi="Times New Roman"/>
                <w:sz w:val="24"/>
                <w:szCs w:val="24"/>
              </w:rPr>
            </w:pPr>
            <w:r>
              <w:rPr>
                <w:rFonts w:ascii="Times New Roman" w:hAnsi="Times New Roman"/>
                <w:sz w:val="24"/>
                <w:szCs w:val="24"/>
              </w:rPr>
              <w:t>352407</w:t>
            </w:r>
          </w:p>
        </w:tc>
      </w:tr>
      <w:tr w:rsidR="001D7C22" w:rsidRPr="00157971" w14:paraId="64366450" w14:textId="77777777" w:rsidTr="00045EBA">
        <w:tc>
          <w:tcPr>
            <w:tcW w:w="1413" w:type="dxa"/>
            <w:shd w:val="clear" w:color="auto" w:fill="auto"/>
          </w:tcPr>
          <w:p w14:paraId="3318868C"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3.2. speciālais budžets</w:t>
            </w:r>
          </w:p>
        </w:tc>
        <w:tc>
          <w:tcPr>
            <w:tcW w:w="1176" w:type="dxa"/>
            <w:shd w:val="clear" w:color="auto" w:fill="auto"/>
          </w:tcPr>
          <w:p w14:paraId="4EEE73DD"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205" w:type="dxa"/>
            <w:shd w:val="clear" w:color="auto" w:fill="auto"/>
          </w:tcPr>
          <w:p w14:paraId="2CDFB84F"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158" w:type="dxa"/>
            <w:shd w:val="clear" w:color="auto" w:fill="auto"/>
          </w:tcPr>
          <w:p w14:paraId="1DAE6C11"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611" w:type="dxa"/>
            <w:shd w:val="clear" w:color="auto" w:fill="auto"/>
          </w:tcPr>
          <w:p w14:paraId="477498F3"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963" w:type="dxa"/>
            <w:shd w:val="clear" w:color="auto" w:fill="auto"/>
          </w:tcPr>
          <w:p w14:paraId="5F1C74C6"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312" w:type="dxa"/>
            <w:shd w:val="clear" w:color="auto" w:fill="auto"/>
          </w:tcPr>
          <w:p w14:paraId="61B8A93E"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221" w:type="dxa"/>
            <w:shd w:val="clear" w:color="auto" w:fill="auto"/>
          </w:tcPr>
          <w:p w14:paraId="04419D26"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r>
      <w:tr w:rsidR="001D7C22" w:rsidRPr="00157971" w14:paraId="4813B29A" w14:textId="77777777" w:rsidTr="00045EBA">
        <w:tc>
          <w:tcPr>
            <w:tcW w:w="1413" w:type="dxa"/>
            <w:shd w:val="clear" w:color="auto" w:fill="auto"/>
          </w:tcPr>
          <w:p w14:paraId="15B34308"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3.3. pašvaldību budžets</w:t>
            </w:r>
          </w:p>
        </w:tc>
        <w:tc>
          <w:tcPr>
            <w:tcW w:w="1176" w:type="dxa"/>
            <w:shd w:val="clear" w:color="auto" w:fill="auto"/>
          </w:tcPr>
          <w:p w14:paraId="191F47F3"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205" w:type="dxa"/>
            <w:shd w:val="clear" w:color="auto" w:fill="auto"/>
          </w:tcPr>
          <w:p w14:paraId="6017F809"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158" w:type="dxa"/>
            <w:shd w:val="clear" w:color="auto" w:fill="auto"/>
          </w:tcPr>
          <w:p w14:paraId="12936B68"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611" w:type="dxa"/>
            <w:shd w:val="clear" w:color="auto" w:fill="auto"/>
          </w:tcPr>
          <w:p w14:paraId="3C8C2B1B"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963" w:type="dxa"/>
            <w:shd w:val="clear" w:color="auto" w:fill="auto"/>
          </w:tcPr>
          <w:p w14:paraId="685E78BB"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312" w:type="dxa"/>
            <w:shd w:val="clear" w:color="auto" w:fill="auto"/>
          </w:tcPr>
          <w:p w14:paraId="0B4A9A8B"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221" w:type="dxa"/>
            <w:shd w:val="clear" w:color="auto" w:fill="auto"/>
          </w:tcPr>
          <w:p w14:paraId="48177C98"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r>
      <w:tr w:rsidR="001D7C22" w:rsidRPr="00157971" w14:paraId="7DE8D840" w14:textId="77777777" w:rsidTr="00045EBA">
        <w:tc>
          <w:tcPr>
            <w:tcW w:w="1413" w:type="dxa"/>
            <w:shd w:val="clear" w:color="auto" w:fill="auto"/>
          </w:tcPr>
          <w:p w14:paraId="36B7A08D"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 xml:space="preserve">4. Finanšu līdzekļi papildu izdevumu finansēšanai (kompensējošu izdevumu samazinājumu norāda ar </w:t>
            </w:r>
            <w:r w:rsidR="00033B2C">
              <w:rPr>
                <w:rFonts w:ascii="Times New Roman" w:hAnsi="Times New Roman"/>
                <w:sz w:val="24"/>
                <w:szCs w:val="24"/>
              </w:rPr>
              <w:t>“</w:t>
            </w:r>
            <w:r w:rsidRPr="001D7C22">
              <w:rPr>
                <w:rFonts w:ascii="Times New Roman" w:hAnsi="Times New Roman"/>
                <w:sz w:val="24"/>
                <w:szCs w:val="24"/>
              </w:rPr>
              <w:t>+</w:t>
            </w:r>
            <w:r w:rsidR="00033B2C">
              <w:rPr>
                <w:rFonts w:ascii="Times New Roman" w:hAnsi="Times New Roman"/>
                <w:sz w:val="24"/>
                <w:szCs w:val="24"/>
              </w:rPr>
              <w:t>”</w:t>
            </w:r>
            <w:r w:rsidRPr="001D7C22">
              <w:rPr>
                <w:rFonts w:ascii="Times New Roman" w:hAnsi="Times New Roman"/>
                <w:sz w:val="24"/>
                <w:szCs w:val="24"/>
              </w:rPr>
              <w:t xml:space="preserve"> zīmi)</w:t>
            </w:r>
          </w:p>
        </w:tc>
        <w:tc>
          <w:tcPr>
            <w:tcW w:w="1176" w:type="dxa"/>
            <w:shd w:val="clear" w:color="auto" w:fill="auto"/>
          </w:tcPr>
          <w:p w14:paraId="3D971C90"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205" w:type="dxa"/>
            <w:shd w:val="clear" w:color="auto" w:fill="auto"/>
          </w:tcPr>
          <w:p w14:paraId="692F83E5"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158" w:type="dxa"/>
            <w:shd w:val="clear" w:color="auto" w:fill="auto"/>
          </w:tcPr>
          <w:p w14:paraId="5EE3E23F"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611" w:type="dxa"/>
            <w:shd w:val="clear" w:color="auto" w:fill="auto"/>
          </w:tcPr>
          <w:p w14:paraId="676B86F7"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963" w:type="dxa"/>
            <w:shd w:val="clear" w:color="auto" w:fill="auto"/>
          </w:tcPr>
          <w:p w14:paraId="2325AA24"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312" w:type="dxa"/>
            <w:shd w:val="clear" w:color="auto" w:fill="auto"/>
          </w:tcPr>
          <w:p w14:paraId="76FCFCF1"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221" w:type="dxa"/>
            <w:shd w:val="clear" w:color="auto" w:fill="auto"/>
          </w:tcPr>
          <w:p w14:paraId="6280AFE5"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r>
      <w:tr w:rsidR="001D7C22" w:rsidRPr="00157971" w14:paraId="58772CCA" w14:textId="77777777" w:rsidTr="00045EBA">
        <w:tc>
          <w:tcPr>
            <w:tcW w:w="1413" w:type="dxa"/>
            <w:shd w:val="clear" w:color="auto" w:fill="auto"/>
          </w:tcPr>
          <w:p w14:paraId="68BD1D50"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5. Precizēta finansiālā ietekme</w:t>
            </w:r>
          </w:p>
        </w:tc>
        <w:tc>
          <w:tcPr>
            <w:tcW w:w="1176" w:type="dxa"/>
            <w:vMerge w:val="restart"/>
            <w:shd w:val="clear" w:color="auto" w:fill="auto"/>
          </w:tcPr>
          <w:p w14:paraId="3A1A6EE3"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X</w:t>
            </w:r>
          </w:p>
        </w:tc>
        <w:tc>
          <w:tcPr>
            <w:tcW w:w="1205" w:type="dxa"/>
            <w:shd w:val="clear" w:color="auto" w:fill="auto"/>
          </w:tcPr>
          <w:p w14:paraId="231CD8BA" w14:textId="77777777" w:rsidR="001D7C22" w:rsidRPr="001D7C22" w:rsidRDefault="001D7C22" w:rsidP="001D7C22">
            <w:pPr>
              <w:spacing w:after="0" w:line="240" w:lineRule="auto"/>
              <w:rPr>
                <w:rFonts w:ascii="Times New Roman" w:hAnsi="Times New Roman"/>
                <w:sz w:val="24"/>
                <w:szCs w:val="24"/>
              </w:rPr>
            </w:pPr>
            <w:r>
              <w:rPr>
                <w:rFonts w:ascii="Times New Roman" w:hAnsi="Times New Roman"/>
                <w:sz w:val="24"/>
                <w:szCs w:val="24"/>
              </w:rPr>
              <w:t>0</w:t>
            </w:r>
          </w:p>
        </w:tc>
        <w:tc>
          <w:tcPr>
            <w:tcW w:w="1158" w:type="dxa"/>
            <w:vMerge w:val="restart"/>
            <w:shd w:val="clear" w:color="auto" w:fill="auto"/>
          </w:tcPr>
          <w:p w14:paraId="24B31E61"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X</w:t>
            </w:r>
          </w:p>
        </w:tc>
        <w:tc>
          <w:tcPr>
            <w:tcW w:w="1611" w:type="dxa"/>
            <w:shd w:val="clear" w:color="auto" w:fill="auto"/>
          </w:tcPr>
          <w:p w14:paraId="06A13BAB"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lang w:eastAsia="ar-SA"/>
              </w:rPr>
              <w:t>0</w:t>
            </w:r>
          </w:p>
        </w:tc>
        <w:tc>
          <w:tcPr>
            <w:tcW w:w="963" w:type="dxa"/>
            <w:vMerge w:val="restart"/>
            <w:shd w:val="clear" w:color="auto" w:fill="auto"/>
          </w:tcPr>
          <w:p w14:paraId="727ACD16"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X</w:t>
            </w:r>
          </w:p>
        </w:tc>
        <w:tc>
          <w:tcPr>
            <w:tcW w:w="1312" w:type="dxa"/>
            <w:shd w:val="clear" w:color="auto" w:fill="auto"/>
          </w:tcPr>
          <w:p w14:paraId="6C1AA725"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221" w:type="dxa"/>
            <w:shd w:val="clear" w:color="auto" w:fill="auto"/>
          </w:tcPr>
          <w:p w14:paraId="558B34D8"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r>
      <w:tr w:rsidR="001D7C22" w:rsidRPr="00157971" w14:paraId="6EB387FE" w14:textId="77777777" w:rsidTr="00045EBA">
        <w:tc>
          <w:tcPr>
            <w:tcW w:w="1413" w:type="dxa"/>
            <w:shd w:val="clear" w:color="auto" w:fill="auto"/>
          </w:tcPr>
          <w:p w14:paraId="6EFE37EB"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5.1. valsts pamatbudžets</w:t>
            </w:r>
          </w:p>
        </w:tc>
        <w:tc>
          <w:tcPr>
            <w:tcW w:w="1176" w:type="dxa"/>
            <w:vMerge/>
            <w:shd w:val="clear" w:color="auto" w:fill="auto"/>
          </w:tcPr>
          <w:p w14:paraId="29B419D9" w14:textId="77777777" w:rsidR="001D7C22" w:rsidRPr="001D7C22" w:rsidRDefault="001D7C22" w:rsidP="001D7C22">
            <w:pPr>
              <w:spacing w:after="0" w:line="240" w:lineRule="auto"/>
              <w:rPr>
                <w:rFonts w:ascii="Times New Roman" w:hAnsi="Times New Roman"/>
                <w:sz w:val="24"/>
                <w:szCs w:val="24"/>
              </w:rPr>
            </w:pPr>
          </w:p>
        </w:tc>
        <w:tc>
          <w:tcPr>
            <w:tcW w:w="1205" w:type="dxa"/>
            <w:shd w:val="clear" w:color="auto" w:fill="auto"/>
          </w:tcPr>
          <w:p w14:paraId="7D506DD3" w14:textId="77777777" w:rsidR="001D7C22" w:rsidRPr="001D7C22" w:rsidRDefault="001D7C22" w:rsidP="001D7C22">
            <w:pPr>
              <w:spacing w:after="0" w:line="240" w:lineRule="auto"/>
              <w:rPr>
                <w:rFonts w:ascii="Times New Roman" w:hAnsi="Times New Roman"/>
                <w:sz w:val="24"/>
                <w:szCs w:val="24"/>
              </w:rPr>
            </w:pPr>
            <w:r>
              <w:rPr>
                <w:rFonts w:ascii="Times New Roman" w:hAnsi="Times New Roman"/>
                <w:sz w:val="24"/>
                <w:szCs w:val="24"/>
              </w:rPr>
              <w:t>0</w:t>
            </w:r>
          </w:p>
        </w:tc>
        <w:tc>
          <w:tcPr>
            <w:tcW w:w="1158" w:type="dxa"/>
            <w:vMerge/>
            <w:shd w:val="clear" w:color="auto" w:fill="auto"/>
          </w:tcPr>
          <w:p w14:paraId="1192293F" w14:textId="77777777" w:rsidR="001D7C22" w:rsidRPr="001D7C22" w:rsidRDefault="001D7C22" w:rsidP="001D7C22">
            <w:pPr>
              <w:spacing w:after="0" w:line="240" w:lineRule="auto"/>
              <w:rPr>
                <w:rFonts w:ascii="Times New Roman" w:hAnsi="Times New Roman"/>
                <w:sz w:val="24"/>
                <w:szCs w:val="24"/>
              </w:rPr>
            </w:pPr>
          </w:p>
        </w:tc>
        <w:tc>
          <w:tcPr>
            <w:tcW w:w="1611" w:type="dxa"/>
            <w:shd w:val="clear" w:color="auto" w:fill="auto"/>
          </w:tcPr>
          <w:p w14:paraId="2F451773"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lang w:eastAsia="ar-SA"/>
              </w:rPr>
              <w:t>0</w:t>
            </w:r>
          </w:p>
        </w:tc>
        <w:tc>
          <w:tcPr>
            <w:tcW w:w="963" w:type="dxa"/>
            <w:vMerge/>
            <w:shd w:val="clear" w:color="auto" w:fill="auto"/>
          </w:tcPr>
          <w:p w14:paraId="08A16E26" w14:textId="77777777" w:rsidR="001D7C22" w:rsidRPr="001D7C22" w:rsidRDefault="001D7C22" w:rsidP="001D7C22">
            <w:pPr>
              <w:spacing w:after="0" w:line="240" w:lineRule="auto"/>
              <w:rPr>
                <w:rFonts w:ascii="Times New Roman" w:hAnsi="Times New Roman"/>
                <w:sz w:val="24"/>
                <w:szCs w:val="24"/>
              </w:rPr>
            </w:pPr>
          </w:p>
        </w:tc>
        <w:tc>
          <w:tcPr>
            <w:tcW w:w="1312" w:type="dxa"/>
            <w:shd w:val="clear" w:color="auto" w:fill="auto"/>
          </w:tcPr>
          <w:p w14:paraId="340B5357"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221" w:type="dxa"/>
            <w:shd w:val="clear" w:color="auto" w:fill="auto"/>
          </w:tcPr>
          <w:p w14:paraId="3188F88A"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r>
      <w:tr w:rsidR="001D7C22" w:rsidRPr="00157971" w14:paraId="6CB6CB46" w14:textId="77777777" w:rsidTr="00045EBA">
        <w:tc>
          <w:tcPr>
            <w:tcW w:w="1413" w:type="dxa"/>
            <w:shd w:val="clear" w:color="auto" w:fill="auto"/>
          </w:tcPr>
          <w:p w14:paraId="78750E83"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5.2. speciālais budžets</w:t>
            </w:r>
          </w:p>
        </w:tc>
        <w:tc>
          <w:tcPr>
            <w:tcW w:w="1176" w:type="dxa"/>
            <w:vMerge/>
            <w:shd w:val="clear" w:color="auto" w:fill="auto"/>
          </w:tcPr>
          <w:p w14:paraId="3DBA9F84" w14:textId="77777777" w:rsidR="001D7C22" w:rsidRPr="001D7C22" w:rsidRDefault="001D7C22" w:rsidP="001D7C22">
            <w:pPr>
              <w:spacing w:after="0" w:line="240" w:lineRule="auto"/>
              <w:rPr>
                <w:rFonts w:ascii="Times New Roman" w:hAnsi="Times New Roman"/>
                <w:sz w:val="24"/>
                <w:szCs w:val="24"/>
              </w:rPr>
            </w:pPr>
          </w:p>
        </w:tc>
        <w:tc>
          <w:tcPr>
            <w:tcW w:w="1205" w:type="dxa"/>
            <w:shd w:val="clear" w:color="auto" w:fill="auto"/>
          </w:tcPr>
          <w:p w14:paraId="3B866265"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158" w:type="dxa"/>
            <w:vMerge/>
            <w:shd w:val="clear" w:color="auto" w:fill="auto"/>
          </w:tcPr>
          <w:p w14:paraId="2D79958F" w14:textId="77777777" w:rsidR="001D7C22" w:rsidRPr="001D7C22" w:rsidRDefault="001D7C22" w:rsidP="001D7C22">
            <w:pPr>
              <w:spacing w:after="0" w:line="240" w:lineRule="auto"/>
              <w:rPr>
                <w:rFonts w:ascii="Times New Roman" w:hAnsi="Times New Roman"/>
                <w:sz w:val="24"/>
                <w:szCs w:val="24"/>
              </w:rPr>
            </w:pPr>
          </w:p>
        </w:tc>
        <w:tc>
          <w:tcPr>
            <w:tcW w:w="1611" w:type="dxa"/>
            <w:shd w:val="clear" w:color="auto" w:fill="auto"/>
          </w:tcPr>
          <w:p w14:paraId="2C6B52C3"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963" w:type="dxa"/>
            <w:vMerge/>
            <w:shd w:val="clear" w:color="auto" w:fill="auto"/>
          </w:tcPr>
          <w:p w14:paraId="2C52C514" w14:textId="77777777" w:rsidR="001D7C22" w:rsidRPr="001D7C22" w:rsidRDefault="001D7C22" w:rsidP="001D7C22">
            <w:pPr>
              <w:spacing w:after="0" w:line="240" w:lineRule="auto"/>
              <w:rPr>
                <w:rFonts w:ascii="Times New Roman" w:hAnsi="Times New Roman"/>
                <w:sz w:val="24"/>
                <w:szCs w:val="24"/>
              </w:rPr>
            </w:pPr>
          </w:p>
        </w:tc>
        <w:tc>
          <w:tcPr>
            <w:tcW w:w="1312" w:type="dxa"/>
            <w:shd w:val="clear" w:color="auto" w:fill="auto"/>
          </w:tcPr>
          <w:p w14:paraId="7E5F599E"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221" w:type="dxa"/>
            <w:shd w:val="clear" w:color="auto" w:fill="auto"/>
          </w:tcPr>
          <w:p w14:paraId="2AFDFBEF"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r>
      <w:tr w:rsidR="001D7C22" w:rsidRPr="00157971" w14:paraId="79B78B3F" w14:textId="77777777" w:rsidTr="00045EBA">
        <w:tc>
          <w:tcPr>
            <w:tcW w:w="1413" w:type="dxa"/>
            <w:shd w:val="clear" w:color="auto" w:fill="auto"/>
          </w:tcPr>
          <w:p w14:paraId="3BA13943"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5.3. pašvaldību budžets</w:t>
            </w:r>
          </w:p>
        </w:tc>
        <w:tc>
          <w:tcPr>
            <w:tcW w:w="1176" w:type="dxa"/>
            <w:vMerge/>
            <w:shd w:val="clear" w:color="auto" w:fill="auto"/>
          </w:tcPr>
          <w:p w14:paraId="331E8A7E" w14:textId="77777777" w:rsidR="001D7C22" w:rsidRPr="001D7C22" w:rsidRDefault="001D7C22" w:rsidP="001D7C22">
            <w:pPr>
              <w:spacing w:after="0" w:line="240" w:lineRule="auto"/>
              <w:rPr>
                <w:rFonts w:ascii="Times New Roman" w:hAnsi="Times New Roman"/>
                <w:sz w:val="24"/>
                <w:szCs w:val="24"/>
              </w:rPr>
            </w:pPr>
          </w:p>
        </w:tc>
        <w:tc>
          <w:tcPr>
            <w:tcW w:w="1205" w:type="dxa"/>
            <w:shd w:val="clear" w:color="auto" w:fill="auto"/>
          </w:tcPr>
          <w:p w14:paraId="35B3E4BB"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158" w:type="dxa"/>
            <w:vMerge/>
            <w:shd w:val="clear" w:color="auto" w:fill="auto"/>
          </w:tcPr>
          <w:p w14:paraId="515AB56C" w14:textId="77777777" w:rsidR="001D7C22" w:rsidRPr="001D7C22" w:rsidRDefault="001D7C22" w:rsidP="001D7C22">
            <w:pPr>
              <w:spacing w:after="0" w:line="240" w:lineRule="auto"/>
              <w:rPr>
                <w:rFonts w:ascii="Times New Roman" w:hAnsi="Times New Roman"/>
                <w:sz w:val="24"/>
                <w:szCs w:val="24"/>
              </w:rPr>
            </w:pPr>
          </w:p>
        </w:tc>
        <w:tc>
          <w:tcPr>
            <w:tcW w:w="1611" w:type="dxa"/>
            <w:shd w:val="clear" w:color="auto" w:fill="auto"/>
          </w:tcPr>
          <w:p w14:paraId="1FEEC1C2"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963" w:type="dxa"/>
            <w:vMerge/>
            <w:shd w:val="clear" w:color="auto" w:fill="auto"/>
          </w:tcPr>
          <w:p w14:paraId="258BFAEE" w14:textId="77777777" w:rsidR="001D7C22" w:rsidRPr="001D7C22" w:rsidRDefault="001D7C22" w:rsidP="001D7C22">
            <w:pPr>
              <w:spacing w:after="0" w:line="240" w:lineRule="auto"/>
              <w:rPr>
                <w:rFonts w:ascii="Times New Roman" w:hAnsi="Times New Roman"/>
                <w:sz w:val="24"/>
                <w:szCs w:val="24"/>
              </w:rPr>
            </w:pPr>
          </w:p>
        </w:tc>
        <w:tc>
          <w:tcPr>
            <w:tcW w:w="1312" w:type="dxa"/>
            <w:shd w:val="clear" w:color="auto" w:fill="auto"/>
          </w:tcPr>
          <w:p w14:paraId="062652EF"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c>
          <w:tcPr>
            <w:tcW w:w="1221" w:type="dxa"/>
            <w:shd w:val="clear" w:color="auto" w:fill="auto"/>
          </w:tcPr>
          <w:p w14:paraId="07483F78"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0</w:t>
            </w:r>
          </w:p>
        </w:tc>
      </w:tr>
      <w:tr w:rsidR="001D7C22" w:rsidRPr="00157971" w14:paraId="3199835F" w14:textId="77777777" w:rsidTr="00045EBA">
        <w:tc>
          <w:tcPr>
            <w:tcW w:w="1413" w:type="dxa"/>
            <w:shd w:val="clear" w:color="auto" w:fill="auto"/>
          </w:tcPr>
          <w:p w14:paraId="1165F9FC"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6. Detalizēts ieņēmumu un izdevumu aprēķins (ja nepieciešams, detalizētu ieņēmumu un izdevumu aprēķinu var pievienot anotācijas pielikumā)</w:t>
            </w:r>
          </w:p>
        </w:tc>
        <w:tc>
          <w:tcPr>
            <w:tcW w:w="8646" w:type="dxa"/>
            <w:gridSpan w:val="7"/>
            <w:vMerge w:val="restart"/>
            <w:shd w:val="clear" w:color="auto" w:fill="auto"/>
          </w:tcPr>
          <w:p w14:paraId="1033E309" w14:textId="77777777" w:rsidR="001D7C22" w:rsidRPr="001D7C22" w:rsidRDefault="001D7C22" w:rsidP="001D7C22">
            <w:pPr>
              <w:spacing w:after="0" w:line="240" w:lineRule="auto"/>
              <w:jc w:val="both"/>
              <w:rPr>
                <w:rFonts w:ascii="Times New Roman" w:hAnsi="Times New Roman"/>
                <w:sz w:val="24"/>
                <w:szCs w:val="24"/>
              </w:rPr>
            </w:pPr>
          </w:p>
        </w:tc>
      </w:tr>
      <w:tr w:rsidR="001D7C22" w:rsidRPr="00157971" w14:paraId="37097551" w14:textId="77777777" w:rsidTr="00045EBA">
        <w:tc>
          <w:tcPr>
            <w:tcW w:w="1413" w:type="dxa"/>
            <w:shd w:val="clear" w:color="auto" w:fill="auto"/>
          </w:tcPr>
          <w:p w14:paraId="6951A8B4"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lastRenderedPageBreak/>
              <w:t>6.1. detalizēts ieņēmumu aprēķins</w:t>
            </w:r>
          </w:p>
        </w:tc>
        <w:tc>
          <w:tcPr>
            <w:tcW w:w="8646" w:type="dxa"/>
            <w:gridSpan w:val="7"/>
            <w:vMerge/>
            <w:shd w:val="clear" w:color="auto" w:fill="auto"/>
          </w:tcPr>
          <w:p w14:paraId="7CC1EF62" w14:textId="77777777" w:rsidR="001D7C22" w:rsidRPr="001D7C22" w:rsidRDefault="001D7C22" w:rsidP="001D7C22">
            <w:pPr>
              <w:spacing w:after="0" w:line="240" w:lineRule="auto"/>
              <w:rPr>
                <w:rFonts w:ascii="Times New Roman" w:hAnsi="Times New Roman"/>
                <w:sz w:val="24"/>
                <w:szCs w:val="24"/>
              </w:rPr>
            </w:pPr>
          </w:p>
        </w:tc>
      </w:tr>
      <w:tr w:rsidR="001D7C22" w:rsidRPr="00157971" w14:paraId="6BF5BF04" w14:textId="77777777" w:rsidTr="00045EBA">
        <w:tc>
          <w:tcPr>
            <w:tcW w:w="1413" w:type="dxa"/>
            <w:shd w:val="clear" w:color="auto" w:fill="auto"/>
          </w:tcPr>
          <w:p w14:paraId="00E681DE"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6.2. detalizēts izdevumu aprēķins</w:t>
            </w:r>
          </w:p>
        </w:tc>
        <w:tc>
          <w:tcPr>
            <w:tcW w:w="8646" w:type="dxa"/>
            <w:gridSpan w:val="7"/>
            <w:vMerge/>
            <w:shd w:val="clear" w:color="auto" w:fill="auto"/>
          </w:tcPr>
          <w:p w14:paraId="2610C22B" w14:textId="77777777" w:rsidR="001D7C22" w:rsidRPr="001D7C22" w:rsidRDefault="001D7C22" w:rsidP="001D7C22">
            <w:pPr>
              <w:spacing w:after="0" w:line="240" w:lineRule="auto"/>
              <w:rPr>
                <w:rFonts w:ascii="Times New Roman" w:hAnsi="Times New Roman"/>
                <w:sz w:val="24"/>
                <w:szCs w:val="24"/>
              </w:rPr>
            </w:pPr>
          </w:p>
        </w:tc>
      </w:tr>
      <w:tr w:rsidR="001D7C22" w:rsidRPr="00157971" w14:paraId="4017439F" w14:textId="77777777" w:rsidTr="00045EBA">
        <w:tc>
          <w:tcPr>
            <w:tcW w:w="1413" w:type="dxa"/>
            <w:shd w:val="clear" w:color="auto" w:fill="auto"/>
          </w:tcPr>
          <w:p w14:paraId="4DADE829"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7. Amata vietu skaita izmaiņas</w:t>
            </w:r>
          </w:p>
        </w:tc>
        <w:tc>
          <w:tcPr>
            <w:tcW w:w="8646" w:type="dxa"/>
            <w:gridSpan w:val="7"/>
            <w:shd w:val="clear" w:color="auto" w:fill="auto"/>
          </w:tcPr>
          <w:p w14:paraId="23B05E1D"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Projekts šo jomu neskar.</w:t>
            </w:r>
          </w:p>
        </w:tc>
      </w:tr>
      <w:tr w:rsidR="001D7C22" w:rsidRPr="00157971" w14:paraId="50C7F9AF" w14:textId="77777777" w:rsidTr="00045EBA">
        <w:trPr>
          <w:trHeight w:val="53"/>
        </w:trPr>
        <w:tc>
          <w:tcPr>
            <w:tcW w:w="1413" w:type="dxa"/>
            <w:shd w:val="clear" w:color="auto" w:fill="auto"/>
          </w:tcPr>
          <w:p w14:paraId="5789F05E" w14:textId="77777777" w:rsidR="001D7C22" w:rsidRPr="001D7C22" w:rsidRDefault="001D7C22" w:rsidP="001D7C22">
            <w:pPr>
              <w:spacing w:after="0" w:line="240" w:lineRule="auto"/>
              <w:rPr>
                <w:rFonts w:ascii="Times New Roman" w:hAnsi="Times New Roman"/>
                <w:sz w:val="24"/>
                <w:szCs w:val="24"/>
              </w:rPr>
            </w:pPr>
            <w:r w:rsidRPr="001D7C22">
              <w:rPr>
                <w:rFonts w:ascii="Times New Roman" w:hAnsi="Times New Roman"/>
                <w:sz w:val="24"/>
                <w:szCs w:val="24"/>
              </w:rPr>
              <w:t>8. Cita informācija</w:t>
            </w:r>
          </w:p>
        </w:tc>
        <w:tc>
          <w:tcPr>
            <w:tcW w:w="8646" w:type="dxa"/>
            <w:gridSpan w:val="7"/>
            <w:shd w:val="clear" w:color="auto" w:fill="auto"/>
          </w:tcPr>
          <w:p w14:paraId="61D73C89" w14:textId="77777777" w:rsidR="00F60899" w:rsidRPr="00F60899" w:rsidRDefault="00F60899" w:rsidP="001D7C22">
            <w:pPr>
              <w:spacing w:after="0" w:line="240" w:lineRule="auto"/>
              <w:jc w:val="both"/>
              <w:rPr>
                <w:rFonts w:ascii="Times New Roman" w:hAnsi="Times New Roman"/>
                <w:sz w:val="24"/>
                <w:szCs w:val="24"/>
              </w:rPr>
            </w:pPr>
            <w:r w:rsidRPr="00F60899">
              <w:rPr>
                <w:rFonts w:ascii="Times New Roman" w:hAnsi="Times New Roman"/>
                <w:sz w:val="24"/>
                <w:szCs w:val="24"/>
              </w:rPr>
              <w:t>Lietošanai piešķiro publiskā telefona tīkla numuru</w:t>
            </w:r>
            <w:r>
              <w:rPr>
                <w:rFonts w:ascii="Times New Roman" w:hAnsi="Times New Roman"/>
                <w:sz w:val="24"/>
                <w:szCs w:val="24"/>
              </w:rPr>
              <w:t xml:space="preserve">, </w:t>
            </w:r>
            <w:r w:rsidRPr="00F60899">
              <w:rPr>
                <w:rFonts w:ascii="Times New Roman" w:hAnsi="Times New Roman"/>
                <w:sz w:val="24"/>
                <w:szCs w:val="24"/>
              </w:rPr>
              <w:t>īso kodu</w:t>
            </w:r>
            <w:r>
              <w:rPr>
                <w:rFonts w:ascii="Times New Roman" w:hAnsi="Times New Roman"/>
                <w:sz w:val="24"/>
                <w:szCs w:val="24"/>
              </w:rPr>
              <w:t xml:space="preserve"> un īso numuru</w:t>
            </w:r>
            <w:r w:rsidRPr="00F60899">
              <w:rPr>
                <w:rFonts w:ascii="Times New Roman" w:hAnsi="Times New Roman"/>
                <w:sz w:val="24"/>
                <w:szCs w:val="24"/>
              </w:rPr>
              <w:t xml:space="preserve"> izmaiņ</w:t>
            </w:r>
            <w:r w:rsidR="00C805F3">
              <w:rPr>
                <w:rFonts w:ascii="Times New Roman" w:hAnsi="Times New Roman"/>
                <w:sz w:val="24"/>
                <w:szCs w:val="24"/>
              </w:rPr>
              <w:t>u</w:t>
            </w:r>
            <w:r w:rsidRPr="00F60899">
              <w:rPr>
                <w:rFonts w:ascii="Times New Roman" w:hAnsi="Times New Roman"/>
                <w:sz w:val="24"/>
                <w:szCs w:val="24"/>
              </w:rPr>
              <w:t xml:space="preserve"> prognoze 2021. - 2023.gad</w:t>
            </w:r>
            <w:r>
              <w:rPr>
                <w:rFonts w:ascii="Times New Roman" w:hAnsi="Times New Roman"/>
                <w:sz w:val="24"/>
                <w:szCs w:val="24"/>
              </w:rPr>
              <w:t>am</w:t>
            </w:r>
            <w:r w:rsidR="00576918">
              <w:rPr>
                <w:rFonts w:ascii="Times New Roman" w:hAnsi="Times New Roman"/>
                <w:sz w:val="24"/>
                <w:szCs w:val="24"/>
              </w:rPr>
              <w:t xml:space="preserve"> (</w:t>
            </w:r>
            <w:r w:rsidR="00C805F3">
              <w:rPr>
                <w:rFonts w:ascii="Times New Roman" w:hAnsi="Times New Roman"/>
                <w:sz w:val="24"/>
                <w:szCs w:val="24"/>
              </w:rPr>
              <w:t>p</w:t>
            </w:r>
            <w:r w:rsidR="00576918">
              <w:rPr>
                <w:rFonts w:ascii="Times New Roman" w:hAnsi="Times New Roman"/>
                <w:sz w:val="24"/>
                <w:szCs w:val="24"/>
              </w:rPr>
              <w:t>ielikums)</w:t>
            </w:r>
            <w:r w:rsidR="00C805F3">
              <w:rPr>
                <w:rFonts w:ascii="Times New Roman" w:hAnsi="Times New Roman"/>
                <w:sz w:val="24"/>
                <w:szCs w:val="24"/>
              </w:rPr>
              <w:t>:</w:t>
            </w:r>
          </w:p>
          <w:p w14:paraId="193A2D50" w14:textId="77777777" w:rsidR="00F60899" w:rsidRPr="00AF5D54" w:rsidRDefault="00F60899" w:rsidP="00AF5D54">
            <w:pPr>
              <w:spacing w:after="0" w:line="240" w:lineRule="auto"/>
              <w:jc w:val="both"/>
              <w:rPr>
                <w:rFonts w:ascii="Times New Roman" w:hAnsi="Times New Roman"/>
                <w:sz w:val="24"/>
                <w:szCs w:val="24"/>
                <w:u w:val="single"/>
              </w:rPr>
            </w:pPr>
            <w:r w:rsidRPr="00AF5D54">
              <w:rPr>
                <w:rFonts w:ascii="Times New Roman" w:hAnsi="Times New Roman"/>
                <w:sz w:val="24"/>
                <w:szCs w:val="24"/>
                <w:u w:val="single"/>
              </w:rPr>
              <w:t xml:space="preserve">Operatora izvēles pakalpojumu kods (3 un 4 cipari). </w:t>
            </w:r>
          </w:p>
          <w:p w14:paraId="67E90BDC" w14:textId="77777777" w:rsidR="00F60899" w:rsidRDefault="00F60899" w:rsidP="00AF5D54">
            <w:pPr>
              <w:spacing w:after="0" w:line="240" w:lineRule="auto"/>
              <w:jc w:val="both"/>
              <w:rPr>
                <w:rFonts w:ascii="Times New Roman" w:hAnsi="Times New Roman"/>
                <w:sz w:val="24"/>
                <w:szCs w:val="24"/>
              </w:rPr>
            </w:pPr>
            <w:r>
              <w:rPr>
                <w:rFonts w:ascii="Times New Roman" w:hAnsi="Times New Roman"/>
                <w:sz w:val="24"/>
                <w:szCs w:val="24"/>
              </w:rPr>
              <w:t>Pēdējo trīs gadu laikā ir būtiski samazinājies pieprasījums pēc operatora izvēles pakalpojuma kodiem, kuri tiek lietoti vienīgi publiskajos fiksētajos telefonu tīklos. Pieprasījuma samazinājums ir skaidrojams ar to, ka ir samazinājies publiskā fiksētā telefonu tīklu galalietotāju skaits, kā arī ir parādījušās citas tehnoloģiskās platformas balss pakalpojumu sniegšanai. Operatora izvēles pakalpojuma kodus pārsvarā izmanto juridiskās personas. Tiek prognozēts, ka elektronisko sakaru komersanti pakāpeniski atteiksies no šī koda. Plānotais operatora izvēles pakalpojuma kodu samazinājums ir no pieciem kodiem 2020.gadā līdz trim kodiem 2023.gadā.</w:t>
            </w:r>
          </w:p>
          <w:p w14:paraId="7278E0CB" w14:textId="77777777" w:rsidR="00F60899" w:rsidRPr="00AF5D54" w:rsidRDefault="00F60899" w:rsidP="00AF5D54">
            <w:pPr>
              <w:spacing w:after="0" w:line="240" w:lineRule="auto"/>
              <w:jc w:val="both"/>
              <w:rPr>
                <w:rFonts w:ascii="Times New Roman" w:hAnsi="Times New Roman"/>
                <w:sz w:val="24"/>
                <w:szCs w:val="24"/>
                <w:u w:val="single"/>
              </w:rPr>
            </w:pPr>
            <w:r w:rsidRPr="00AF5D54">
              <w:rPr>
                <w:rFonts w:ascii="Times New Roman" w:hAnsi="Times New Roman"/>
                <w:sz w:val="24"/>
                <w:szCs w:val="24"/>
                <w:u w:val="single"/>
              </w:rPr>
              <w:t xml:space="preserve">Operatoru pakalpojumu numurs (3, 4 un 5 cipari). </w:t>
            </w:r>
          </w:p>
          <w:p w14:paraId="2254BED7" w14:textId="77777777" w:rsidR="00F60899" w:rsidRDefault="00F60899" w:rsidP="00AF5D54">
            <w:pPr>
              <w:spacing w:after="0" w:line="240" w:lineRule="auto"/>
              <w:jc w:val="both"/>
              <w:rPr>
                <w:rFonts w:ascii="Times New Roman" w:hAnsi="Times New Roman"/>
                <w:sz w:val="24"/>
                <w:szCs w:val="24"/>
              </w:rPr>
            </w:pPr>
            <w:r>
              <w:rPr>
                <w:rFonts w:ascii="Times New Roman" w:hAnsi="Times New Roman"/>
                <w:sz w:val="24"/>
                <w:szCs w:val="24"/>
              </w:rPr>
              <w:t xml:space="preserve">Ņemot vērā, ka </w:t>
            </w:r>
            <w:r w:rsidRPr="00172BA7">
              <w:rPr>
                <w:rFonts w:ascii="Times New Roman" w:hAnsi="Times New Roman"/>
                <w:sz w:val="24"/>
                <w:szCs w:val="24"/>
              </w:rPr>
              <w:t>Nodev</w:t>
            </w:r>
            <w:r w:rsidR="00C805F3">
              <w:rPr>
                <w:rFonts w:ascii="Times New Roman" w:hAnsi="Times New Roman"/>
                <w:sz w:val="24"/>
                <w:szCs w:val="24"/>
              </w:rPr>
              <w:t>u</w:t>
            </w:r>
            <w:r w:rsidRPr="00D229E3">
              <w:rPr>
                <w:rFonts w:ascii="Times New Roman" w:hAnsi="Times New Roman"/>
                <w:sz w:val="24"/>
                <w:szCs w:val="24"/>
              </w:rPr>
              <w:t xml:space="preserve"> </w:t>
            </w:r>
            <w:r w:rsidRPr="00AA09E3">
              <w:rPr>
                <w:rFonts w:ascii="Times New Roman" w:hAnsi="Times New Roman"/>
                <w:sz w:val="24"/>
                <w:szCs w:val="24"/>
              </w:rPr>
              <w:t>operatoru pakalpojumu numuriem</w:t>
            </w:r>
            <w:r>
              <w:rPr>
                <w:rFonts w:ascii="Times New Roman" w:hAnsi="Times New Roman"/>
                <w:sz w:val="24"/>
                <w:szCs w:val="24"/>
              </w:rPr>
              <w:t xml:space="preserve"> tiek plānots samazināt, ir prognozējams, ka pieaugs pieprasījums pēc </w:t>
            </w:r>
            <w:r w:rsidRPr="00AA09E3">
              <w:rPr>
                <w:rFonts w:ascii="Times New Roman" w:hAnsi="Times New Roman"/>
                <w:sz w:val="24"/>
                <w:szCs w:val="24"/>
              </w:rPr>
              <w:t>operatoru pakalpojumu numuriem</w:t>
            </w:r>
            <w:r>
              <w:rPr>
                <w:rFonts w:ascii="Times New Roman" w:hAnsi="Times New Roman"/>
                <w:sz w:val="24"/>
                <w:szCs w:val="24"/>
              </w:rPr>
              <w:t>, tas ir,</w:t>
            </w:r>
            <w:r w:rsidRPr="00AA09E3">
              <w:rPr>
                <w:rFonts w:ascii="Times New Roman" w:hAnsi="Times New Roman"/>
                <w:sz w:val="24"/>
                <w:szCs w:val="24"/>
              </w:rPr>
              <w:t xml:space="preserve"> pēc 4 ciparu operatoru pakalpojumu numuriem</w:t>
            </w:r>
            <w:r>
              <w:rPr>
                <w:rFonts w:ascii="Times New Roman" w:hAnsi="Times New Roman"/>
                <w:sz w:val="24"/>
                <w:szCs w:val="24"/>
              </w:rPr>
              <w:t>.</w:t>
            </w:r>
            <w:r w:rsidRPr="00AA09E3">
              <w:rPr>
                <w:rFonts w:ascii="Times New Roman" w:hAnsi="Times New Roman"/>
                <w:sz w:val="24"/>
                <w:szCs w:val="24"/>
              </w:rPr>
              <w:t xml:space="preserve"> </w:t>
            </w:r>
            <w:r>
              <w:rPr>
                <w:rFonts w:ascii="Times New Roman" w:hAnsi="Times New Roman"/>
                <w:sz w:val="24"/>
                <w:szCs w:val="24"/>
              </w:rPr>
              <w:t xml:space="preserve">Savukārt, pieprasījums pēc </w:t>
            </w:r>
            <w:r w:rsidRPr="00AA09E3">
              <w:rPr>
                <w:rFonts w:ascii="Times New Roman" w:hAnsi="Times New Roman"/>
                <w:sz w:val="24"/>
                <w:szCs w:val="24"/>
              </w:rPr>
              <w:t>3 un 5 ciparu operatoru pakalpojumu numur</w:t>
            </w:r>
            <w:r>
              <w:rPr>
                <w:rFonts w:ascii="Times New Roman" w:hAnsi="Times New Roman"/>
                <w:sz w:val="24"/>
                <w:szCs w:val="24"/>
              </w:rPr>
              <w:t>iem</w:t>
            </w:r>
            <w:r w:rsidRPr="00AA09E3">
              <w:rPr>
                <w:rFonts w:ascii="Times New Roman" w:hAnsi="Times New Roman"/>
                <w:sz w:val="24"/>
                <w:szCs w:val="24"/>
              </w:rPr>
              <w:t xml:space="preserve"> paliks nemainīg</w:t>
            </w:r>
            <w:r>
              <w:rPr>
                <w:rFonts w:ascii="Times New Roman" w:hAnsi="Times New Roman"/>
                <w:sz w:val="24"/>
                <w:szCs w:val="24"/>
              </w:rPr>
              <w:t>s</w:t>
            </w:r>
            <w:r w:rsidRPr="00AA09E3">
              <w:rPr>
                <w:rFonts w:ascii="Times New Roman" w:hAnsi="Times New Roman"/>
                <w:sz w:val="24"/>
                <w:szCs w:val="24"/>
              </w:rPr>
              <w:t xml:space="preserve">, jo 3 ciparu operatoru pakalpojumu numuriem </w:t>
            </w:r>
            <w:r>
              <w:rPr>
                <w:rFonts w:ascii="Times New Roman" w:hAnsi="Times New Roman"/>
                <w:sz w:val="24"/>
                <w:szCs w:val="24"/>
              </w:rPr>
              <w:t xml:space="preserve">joprojām paliks </w:t>
            </w:r>
            <w:r w:rsidRPr="00AA09E3">
              <w:rPr>
                <w:rFonts w:ascii="Times New Roman" w:hAnsi="Times New Roman"/>
                <w:sz w:val="24"/>
                <w:szCs w:val="24"/>
              </w:rPr>
              <w:t xml:space="preserve">vislielākā Nodeva, </w:t>
            </w:r>
            <w:r>
              <w:rPr>
                <w:rFonts w:ascii="Times New Roman" w:hAnsi="Times New Roman"/>
                <w:sz w:val="24"/>
                <w:szCs w:val="24"/>
              </w:rPr>
              <w:t>bet</w:t>
            </w:r>
            <w:r w:rsidRPr="00AA09E3">
              <w:rPr>
                <w:rFonts w:ascii="Times New Roman" w:hAnsi="Times New Roman"/>
                <w:sz w:val="24"/>
                <w:szCs w:val="24"/>
              </w:rPr>
              <w:t xml:space="preserve"> 5 ciparu</w:t>
            </w:r>
            <w:r>
              <w:rPr>
                <w:rFonts w:ascii="Times New Roman" w:hAnsi="Times New Roman"/>
                <w:sz w:val="24"/>
                <w:szCs w:val="24"/>
              </w:rPr>
              <w:t xml:space="preserve"> </w:t>
            </w:r>
            <w:r w:rsidRPr="00AA09E3">
              <w:rPr>
                <w:rFonts w:ascii="Times New Roman" w:hAnsi="Times New Roman"/>
                <w:sz w:val="24"/>
                <w:szCs w:val="24"/>
              </w:rPr>
              <w:t xml:space="preserve">operatoru pakalpojumu </w:t>
            </w:r>
            <w:r>
              <w:rPr>
                <w:rFonts w:ascii="Times New Roman" w:hAnsi="Times New Roman"/>
                <w:sz w:val="24"/>
                <w:szCs w:val="24"/>
              </w:rPr>
              <w:t xml:space="preserve">numuri nav pieprasīti, neskatoties uz šobrīd jau tā zemo Nodevu. </w:t>
            </w:r>
          </w:p>
          <w:p w14:paraId="2829F195" w14:textId="77777777" w:rsidR="00F60899" w:rsidRPr="00AF5D54" w:rsidRDefault="00F60899" w:rsidP="00AF5D54">
            <w:pPr>
              <w:spacing w:after="0" w:line="240" w:lineRule="auto"/>
              <w:jc w:val="both"/>
              <w:rPr>
                <w:rFonts w:ascii="Times New Roman" w:hAnsi="Times New Roman"/>
                <w:sz w:val="24"/>
                <w:szCs w:val="24"/>
                <w:u w:val="single"/>
              </w:rPr>
            </w:pPr>
            <w:r w:rsidRPr="00AF5D54">
              <w:rPr>
                <w:rFonts w:ascii="Times New Roman" w:hAnsi="Times New Roman"/>
                <w:sz w:val="24"/>
                <w:szCs w:val="24"/>
                <w:u w:val="single"/>
              </w:rPr>
              <w:t xml:space="preserve">Uzziņu dienestu pakalpojuma numurs (4 un 5 cipari). </w:t>
            </w:r>
          </w:p>
          <w:p w14:paraId="6C25B2CC" w14:textId="77777777" w:rsidR="00F60899" w:rsidRDefault="00F60899" w:rsidP="00AF5D54">
            <w:pPr>
              <w:spacing w:after="0" w:line="240" w:lineRule="auto"/>
              <w:jc w:val="both"/>
              <w:rPr>
                <w:rFonts w:ascii="Times New Roman" w:hAnsi="Times New Roman"/>
                <w:sz w:val="24"/>
                <w:szCs w:val="24"/>
              </w:rPr>
            </w:pPr>
            <w:r>
              <w:rPr>
                <w:rFonts w:ascii="Times New Roman" w:hAnsi="Times New Roman"/>
                <w:sz w:val="24"/>
                <w:szCs w:val="24"/>
              </w:rPr>
              <w:t xml:space="preserve">Informāciju, kuru sniedz uzziņu dienesti, tagad ir viegli atrodama internetā. Līdz ar to tiek prognozēts, ka elektronisko sakaru komersanti pakāpeniski atteiksies no </w:t>
            </w:r>
            <w:r w:rsidRPr="00AA09E3">
              <w:rPr>
                <w:rFonts w:ascii="Times New Roman" w:hAnsi="Times New Roman"/>
                <w:sz w:val="24"/>
                <w:szCs w:val="24"/>
              </w:rPr>
              <w:t>šī numura (4 cipari)</w:t>
            </w:r>
            <w:r>
              <w:rPr>
                <w:rFonts w:ascii="Times New Roman" w:hAnsi="Times New Roman"/>
                <w:sz w:val="24"/>
                <w:szCs w:val="24"/>
              </w:rPr>
              <w:t xml:space="preserve">. Plānotais uzziņu dienestu pakalpojumu numuru </w:t>
            </w:r>
            <w:r w:rsidRPr="00AA09E3">
              <w:rPr>
                <w:rFonts w:ascii="Times New Roman" w:hAnsi="Times New Roman"/>
                <w:sz w:val="24"/>
                <w:szCs w:val="24"/>
              </w:rPr>
              <w:t>(4 cipari)</w:t>
            </w:r>
            <w:r>
              <w:rPr>
                <w:rFonts w:ascii="Times New Roman" w:hAnsi="Times New Roman"/>
                <w:sz w:val="24"/>
                <w:szCs w:val="24"/>
              </w:rPr>
              <w:t xml:space="preserve"> samazinājums ir </w:t>
            </w:r>
            <w:r w:rsidRPr="00AA09E3">
              <w:rPr>
                <w:rFonts w:ascii="Times New Roman" w:hAnsi="Times New Roman"/>
                <w:sz w:val="24"/>
                <w:szCs w:val="24"/>
              </w:rPr>
              <w:t xml:space="preserve">no pieciem numuriem 2020.gadā līdz trim numuriem 2023.gadā. Uzziņu dienestu pakalpojuma numuri (5 cipari) patlaban nav piešķirti nevienam elektronisko sakaru komersantam. Gadījumā, ja līdz 2022.gadam nebūs pieprasījums pēc uzziņu dienestu pakalpojuma numuriem “1184X”, tad </w:t>
            </w:r>
            <w:r w:rsidRPr="009F5B62">
              <w:rPr>
                <w:rFonts w:ascii="Times New Roman" w:hAnsi="Times New Roman"/>
                <w:sz w:val="24"/>
                <w:szCs w:val="24"/>
              </w:rPr>
              <w:t>varētu lemt par šo īso numuru izslēgšanu no Nacionālā numerācijas plāna</w:t>
            </w:r>
            <w:r>
              <w:rPr>
                <w:rFonts w:ascii="Times New Roman" w:hAnsi="Times New Roman"/>
                <w:sz w:val="24"/>
                <w:szCs w:val="24"/>
              </w:rPr>
              <w:t>.</w:t>
            </w:r>
          </w:p>
          <w:p w14:paraId="7D493BDC" w14:textId="77777777" w:rsidR="00F60899" w:rsidRPr="00AF5D54" w:rsidRDefault="00F60899" w:rsidP="00AF5D54">
            <w:pPr>
              <w:spacing w:after="0" w:line="240" w:lineRule="auto"/>
              <w:jc w:val="both"/>
              <w:rPr>
                <w:rFonts w:ascii="Times New Roman" w:hAnsi="Times New Roman"/>
                <w:sz w:val="24"/>
                <w:szCs w:val="24"/>
                <w:u w:val="single"/>
              </w:rPr>
            </w:pPr>
            <w:r w:rsidRPr="00AF5D54">
              <w:rPr>
                <w:rFonts w:ascii="Times New Roman" w:hAnsi="Times New Roman"/>
                <w:sz w:val="24"/>
                <w:szCs w:val="24"/>
                <w:u w:val="single"/>
              </w:rPr>
              <w:t xml:space="preserve">Nacionālais signalizācijas punktu kods. </w:t>
            </w:r>
          </w:p>
          <w:p w14:paraId="7D8A5B95" w14:textId="77777777" w:rsidR="00F60899" w:rsidRDefault="00F60899" w:rsidP="00AF5D54">
            <w:pPr>
              <w:spacing w:after="0" w:line="240" w:lineRule="auto"/>
              <w:jc w:val="both"/>
              <w:rPr>
                <w:rFonts w:ascii="Times New Roman" w:hAnsi="Times New Roman"/>
                <w:sz w:val="24"/>
                <w:szCs w:val="24"/>
              </w:rPr>
            </w:pPr>
            <w:r w:rsidRPr="00A4376F">
              <w:rPr>
                <w:rFonts w:ascii="Times New Roman" w:hAnsi="Times New Roman"/>
                <w:sz w:val="24"/>
                <w:szCs w:val="24"/>
              </w:rPr>
              <w:t>Nacionālie signalizācijas punktu kodi</w:t>
            </w:r>
            <w:r w:rsidRPr="00A4376F" w:rsidDel="00A4376F">
              <w:rPr>
                <w:rFonts w:ascii="Times New Roman" w:hAnsi="Times New Roman"/>
                <w:sz w:val="24"/>
                <w:szCs w:val="24"/>
              </w:rPr>
              <w:t xml:space="preserve"> </w:t>
            </w:r>
            <w:r>
              <w:rPr>
                <w:rFonts w:ascii="Times New Roman" w:hAnsi="Times New Roman"/>
                <w:sz w:val="24"/>
                <w:szCs w:val="24"/>
              </w:rPr>
              <w:t>tiek pielietoti telefonu tīkla centrālēs, ja tiek izmantota signalizācija sistēma Nr.7 (</w:t>
            </w:r>
            <w:r w:rsidRPr="00AF5D54">
              <w:rPr>
                <w:rFonts w:ascii="Times New Roman" w:hAnsi="Times New Roman"/>
                <w:sz w:val="24"/>
                <w:szCs w:val="24"/>
              </w:rPr>
              <w:t>SS7</w:t>
            </w:r>
            <w:r>
              <w:rPr>
                <w:rFonts w:ascii="Times New Roman" w:hAnsi="Times New Roman"/>
                <w:sz w:val="24"/>
                <w:szCs w:val="24"/>
              </w:rPr>
              <w:t>). Pēdējos gados pieprasījums pēc n</w:t>
            </w:r>
            <w:r w:rsidRPr="00A4376F">
              <w:rPr>
                <w:rFonts w:ascii="Times New Roman" w:hAnsi="Times New Roman"/>
                <w:sz w:val="24"/>
                <w:szCs w:val="24"/>
              </w:rPr>
              <w:t>acionāl</w:t>
            </w:r>
            <w:r>
              <w:rPr>
                <w:rFonts w:ascii="Times New Roman" w:hAnsi="Times New Roman"/>
                <w:sz w:val="24"/>
                <w:szCs w:val="24"/>
              </w:rPr>
              <w:t>ajiem</w:t>
            </w:r>
            <w:r w:rsidRPr="00A4376F">
              <w:rPr>
                <w:rFonts w:ascii="Times New Roman" w:hAnsi="Times New Roman"/>
                <w:sz w:val="24"/>
                <w:szCs w:val="24"/>
              </w:rPr>
              <w:t xml:space="preserve"> signalizācijas punktu</w:t>
            </w:r>
            <w:r>
              <w:rPr>
                <w:rFonts w:ascii="Times New Roman" w:hAnsi="Times New Roman"/>
                <w:sz w:val="24"/>
                <w:szCs w:val="24"/>
              </w:rPr>
              <w:t xml:space="preserve"> kodiem publiskajos mobilajos elektronisko sakaru tīklos ir samazinājies. No 2017.gada ir piešķirti trīs nacionālie signalizācijas punktu kodi. Ņemot vērā, ka elektronisko s</w:t>
            </w:r>
            <w:r w:rsidR="004D3F53">
              <w:rPr>
                <w:rFonts w:ascii="Times New Roman" w:hAnsi="Times New Roman"/>
                <w:sz w:val="24"/>
                <w:szCs w:val="24"/>
              </w:rPr>
              <w:t>a</w:t>
            </w:r>
            <w:r>
              <w:rPr>
                <w:rFonts w:ascii="Times New Roman" w:hAnsi="Times New Roman"/>
                <w:sz w:val="24"/>
                <w:szCs w:val="24"/>
              </w:rPr>
              <w:t>karu komersanti pāriet uz citiem signalizācijas veidiem (piemēram, SIP protokolu) un notiek modernizācijas procesi elektronisko sakaru tīklos, tiek prognozēts, ka elektronisko sakaru komersanti pakāpeniski atteiksies no n</w:t>
            </w:r>
            <w:r w:rsidRPr="00A4376F">
              <w:rPr>
                <w:rFonts w:ascii="Times New Roman" w:hAnsi="Times New Roman"/>
                <w:sz w:val="24"/>
                <w:szCs w:val="24"/>
              </w:rPr>
              <w:t>acionāl</w:t>
            </w:r>
            <w:r>
              <w:rPr>
                <w:rFonts w:ascii="Times New Roman" w:hAnsi="Times New Roman"/>
                <w:sz w:val="24"/>
                <w:szCs w:val="24"/>
              </w:rPr>
              <w:t>ā</w:t>
            </w:r>
            <w:r w:rsidRPr="00A4376F">
              <w:rPr>
                <w:rFonts w:ascii="Times New Roman" w:hAnsi="Times New Roman"/>
                <w:sz w:val="24"/>
                <w:szCs w:val="24"/>
              </w:rPr>
              <w:t xml:space="preserve"> signalizācijas punktu</w:t>
            </w:r>
            <w:r>
              <w:rPr>
                <w:rFonts w:ascii="Times New Roman" w:hAnsi="Times New Roman"/>
                <w:sz w:val="24"/>
                <w:szCs w:val="24"/>
              </w:rPr>
              <w:t xml:space="preserve"> koda no 2088 kodiem 2020.gadā līdz 120 kodiem 2023.gadā.</w:t>
            </w:r>
          </w:p>
          <w:p w14:paraId="3FE85C4A" w14:textId="77777777" w:rsidR="00F60899" w:rsidRDefault="00F60899" w:rsidP="00AF5D54">
            <w:pPr>
              <w:spacing w:after="0" w:line="240" w:lineRule="auto"/>
              <w:jc w:val="both"/>
              <w:rPr>
                <w:rFonts w:ascii="Times New Roman" w:hAnsi="Times New Roman"/>
                <w:sz w:val="24"/>
                <w:szCs w:val="24"/>
              </w:rPr>
            </w:pPr>
            <w:r w:rsidRPr="00AF5D54">
              <w:rPr>
                <w:rFonts w:ascii="Times New Roman" w:hAnsi="Times New Roman"/>
                <w:sz w:val="24"/>
                <w:szCs w:val="24"/>
                <w:u w:val="single"/>
              </w:rPr>
              <w:t>Publiskā mobilā telefonu tīkla kods</w:t>
            </w:r>
            <w:r>
              <w:rPr>
                <w:rFonts w:ascii="Times New Roman" w:hAnsi="Times New Roman"/>
                <w:sz w:val="24"/>
                <w:szCs w:val="24"/>
              </w:rPr>
              <w:t>.</w:t>
            </w:r>
          </w:p>
          <w:p w14:paraId="502951C8" w14:textId="77777777" w:rsidR="00F60899" w:rsidRDefault="00F60899" w:rsidP="00AF5D54">
            <w:pPr>
              <w:spacing w:after="0" w:line="240" w:lineRule="auto"/>
              <w:jc w:val="both"/>
              <w:rPr>
                <w:rFonts w:ascii="Times New Roman" w:hAnsi="Times New Roman"/>
                <w:sz w:val="24"/>
                <w:szCs w:val="24"/>
              </w:rPr>
            </w:pPr>
            <w:r>
              <w:rPr>
                <w:rFonts w:ascii="Times New Roman" w:hAnsi="Times New Roman"/>
                <w:sz w:val="24"/>
                <w:szCs w:val="24"/>
              </w:rPr>
              <w:t>P</w:t>
            </w:r>
            <w:r w:rsidRPr="005D5643">
              <w:rPr>
                <w:rFonts w:ascii="Times New Roman" w:hAnsi="Times New Roman"/>
                <w:sz w:val="24"/>
                <w:szCs w:val="24"/>
              </w:rPr>
              <w:t>ublisk</w:t>
            </w:r>
            <w:r>
              <w:rPr>
                <w:rFonts w:ascii="Times New Roman" w:hAnsi="Times New Roman"/>
                <w:sz w:val="24"/>
                <w:szCs w:val="24"/>
              </w:rPr>
              <w:t>ā</w:t>
            </w:r>
            <w:r w:rsidRPr="005D5643">
              <w:rPr>
                <w:rFonts w:ascii="Times New Roman" w:hAnsi="Times New Roman"/>
                <w:sz w:val="24"/>
                <w:szCs w:val="24"/>
              </w:rPr>
              <w:t xml:space="preserve"> mobil</w:t>
            </w:r>
            <w:r>
              <w:rPr>
                <w:rFonts w:ascii="Times New Roman" w:hAnsi="Times New Roman"/>
                <w:sz w:val="24"/>
                <w:szCs w:val="24"/>
              </w:rPr>
              <w:t>ā</w:t>
            </w:r>
            <w:r w:rsidRPr="005D5643">
              <w:rPr>
                <w:rFonts w:ascii="Times New Roman" w:hAnsi="Times New Roman"/>
                <w:sz w:val="24"/>
                <w:szCs w:val="24"/>
              </w:rPr>
              <w:t xml:space="preserve"> </w:t>
            </w:r>
            <w:r>
              <w:rPr>
                <w:rFonts w:ascii="Times New Roman" w:hAnsi="Times New Roman"/>
                <w:sz w:val="24"/>
                <w:szCs w:val="24"/>
              </w:rPr>
              <w:t>telefonu tīkla kods identificē elektronisko sakaru komersanta  publiskā mobilā telefonu tīklu. P</w:t>
            </w:r>
            <w:r w:rsidRPr="005D5643">
              <w:rPr>
                <w:rFonts w:ascii="Times New Roman" w:hAnsi="Times New Roman"/>
                <w:sz w:val="24"/>
                <w:szCs w:val="24"/>
              </w:rPr>
              <w:t>ublisk</w:t>
            </w:r>
            <w:r>
              <w:rPr>
                <w:rFonts w:ascii="Times New Roman" w:hAnsi="Times New Roman"/>
                <w:sz w:val="24"/>
                <w:szCs w:val="24"/>
              </w:rPr>
              <w:t>ā</w:t>
            </w:r>
            <w:r w:rsidRPr="005D5643">
              <w:rPr>
                <w:rFonts w:ascii="Times New Roman" w:hAnsi="Times New Roman"/>
                <w:sz w:val="24"/>
                <w:szCs w:val="24"/>
              </w:rPr>
              <w:t xml:space="preserve"> mobil</w:t>
            </w:r>
            <w:r>
              <w:rPr>
                <w:rFonts w:ascii="Times New Roman" w:hAnsi="Times New Roman"/>
                <w:sz w:val="24"/>
                <w:szCs w:val="24"/>
              </w:rPr>
              <w:t>ā</w:t>
            </w:r>
            <w:r w:rsidRPr="005D5643">
              <w:rPr>
                <w:rFonts w:ascii="Times New Roman" w:hAnsi="Times New Roman"/>
                <w:sz w:val="24"/>
                <w:szCs w:val="24"/>
              </w:rPr>
              <w:t xml:space="preserve"> </w:t>
            </w:r>
            <w:r>
              <w:rPr>
                <w:rFonts w:ascii="Times New Roman" w:hAnsi="Times New Roman"/>
                <w:sz w:val="24"/>
                <w:szCs w:val="24"/>
              </w:rPr>
              <w:t xml:space="preserve">telefonu tīkla  kods papildus var tikt izmantots pie pārejas uz 5G elektronisko sakaru tīkliem, kā arī atbilstoši starptautiskajiem pētījumiem var tikt piešķirts lieliem privātiem tīkliem (piemēram, ostas, lidostas, lielas </w:t>
            </w:r>
            <w:r>
              <w:rPr>
                <w:rFonts w:ascii="Times New Roman" w:hAnsi="Times New Roman"/>
                <w:sz w:val="24"/>
                <w:szCs w:val="24"/>
              </w:rPr>
              <w:lastRenderedPageBreak/>
              <w:t>ražotnes). Tāpēc tiek prognozēts, ka nākamo trīs gadu laikā palielināsies pieprasījums pēc publiskā mobilā telefonu tīkla</w:t>
            </w:r>
            <w:r w:rsidDel="000A1944">
              <w:rPr>
                <w:rFonts w:ascii="Times New Roman" w:hAnsi="Times New Roman"/>
                <w:sz w:val="24"/>
                <w:szCs w:val="24"/>
              </w:rPr>
              <w:t xml:space="preserve"> </w:t>
            </w:r>
            <w:r>
              <w:rPr>
                <w:rFonts w:ascii="Times New Roman" w:hAnsi="Times New Roman"/>
                <w:sz w:val="24"/>
                <w:szCs w:val="24"/>
              </w:rPr>
              <w:t>kodiem no deviņiem kodiem 2020.gadā līdz 12 kodiem 2023.gadā.</w:t>
            </w:r>
          </w:p>
          <w:p w14:paraId="5C3349C2" w14:textId="77777777" w:rsidR="00F60899" w:rsidRPr="00AF5D54" w:rsidRDefault="00F60899" w:rsidP="00AF5D54">
            <w:pPr>
              <w:spacing w:after="0" w:line="240" w:lineRule="auto"/>
              <w:jc w:val="both"/>
              <w:rPr>
                <w:rFonts w:ascii="Times New Roman" w:hAnsi="Times New Roman"/>
                <w:sz w:val="24"/>
                <w:szCs w:val="24"/>
                <w:u w:val="single"/>
              </w:rPr>
            </w:pPr>
            <w:r w:rsidRPr="00AF5D54">
              <w:rPr>
                <w:rFonts w:ascii="Times New Roman" w:hAnsi="Times New Roman"/>
                <w:sz w:val="24"/>
                <w:szCs w:val="24"/>
                <w:u w:val="single"/>
              </w:rPr>
              <w:t xml:space="preserve">Datu pārraides tīklu identifikācijas kods. </w:t>
            </w:r>
          </w:p>
          <w:p w14:paraId="36A18B18" w14:textId="77777777" w:rsidR="00F60899" w:rsidRPr="006A0E94" w:rsidRDefault="00F60899" w:rsidP="00AF5D54">
            <w:pPr>
              <w:spacing w:after="0" w:line="240" w:lineRule="auto"/>
              <w:jc w:val="both"/>
              <w:rPr>
                <w:rFonts w:ascii="Times New Roman" w:hAnsi="Times New Roman"/>
                <w:sz w:val="24"/>
                <w:szCs w:val="24"/>
              </w:rPr>
            </w:pPr>
            <w:r>
              <w:rPr>
                <w:rFonts w:ascii="Times New Roman" w:hAnsi="Times New Roman"/>
                <w:sz w:val="24"/>
                <w:szCs w:val="24"/>
              </w:rPr>
              <w:t>Netiek prognozēts, ka pieprasījums pēc d</w:t>
            </w:r>
            <w:r w:rsidRPr="00866152">
              <w:rPr>
                <w:rFonts w:ascii="Times New Roman" w:hAnsi="Times New Roman"/>
                <w:sz w:val="24"/>
                <w:szCs w:val="24"/>
              </w:rPr>
              <w:t>atu pārraides tīklu identifikācijas kodiem</w:t>
            </w:r>
            <w:r>
              <w:rPr>
                <w:rFonts w:ascii="Times New Roman" w:hAnsi="Times New Roman"/>
                <w:sz w:val="24"/>
                <w:szCs w:val="24"/>
              </w:rPr>
              <w:t xml:space="preserve"> samazināsies vai palielināsies turpmākajos trīs gados.</w:t>
            </w:r>
          </w:p>
          <w:p w14:paraId="6E61D59B" w14:textId="77777777" w:rsidR="00F60899" w:rsidRDefault="00F60899" w:rsidP="00AF5D54">
            <w:pPr>
              <w:spacing w:after="0" w:line="240" w:lineRule="auto"/>
              <w:jc w:val="both"/>
              <w:rPr>
                <w:rFonts w:ascii="Times New Roman" w:hAnsi="Times New Roman"/>
                <w:sz w:val="24"/>
                <w:szCs w:val="24"/>
              </w:rPr>
            </w:pPr>
            <w:r w:rsidRPr="00AF5D54">
              <w:rPr>
                <w:rFonts w:ascii="Times New Roman" w:hAnsi="Times New Roman"/>
                <w:sz w:val="24"/>
                <w:szCs w:val="24"/>
              </w:rPr>
              <w:t>Bezmaksas izsaukuma pakalpojuma numuri</w:t>
            </w:r>
            <w:r>
              <w:rPr>
                <w:rFonts w:ascii="Times New Roman" w:hAnsi="Times New Roman"/>
                <w:sz w:val="24"/>
                <w:szCs w:val="24"/>
              </w:rPr>
              <w:t xml:space="preserve">. </w:t>
            </w:r>
          </w:p>
          <w:p w14:paraId="3A4C9CDC" w14:textId="77777777" w:rsidR="00F60899" w:rsidRDefault="00F60899" w:rsidP="00AF5D54">
            <w:pPr>
              <w:spacing w:after="0" w:line="240" w:lineRule="auto"/>
              <w:jc w:val="both"/>
              <w:rPr>
                <w:rFonts w:ascii="Times New Roman" w:hAnsi="Times New Roman"/>
                <w:sz w:val="24"/>
                <w:szCs w:val="24"/>
              </w:rPr>
            </w:pPr>
            <w:r w:rsidRPr="007B0BCB">
              <w:rPr>
                <w:rFonts w:ascii="Times New Roman" w:hAnsi="Times New Roman"/>
                <w:sz w:val="24"/>
                <w:szCs w:val="24"/>
              </w:rPr>
              <w:t>Bezmaksas izsaukuma pakalpojuma</w:t>
            </w:r>
            <w:r>
              <w:rPr>
                <w:rFonts w:ascii="Times New Roman" w:hAnsi="Times New Roman"/>
                <w:sz w:val="24"/>
                <w:szCs w:val="24"/>
              </w:rPr>
              <w:t xml:space="preserve"> numuri ir viens no numerācijas veidiem, kuri tiek eksportēti un izmantoti ārpus Latvijas Republikas, galvenokārt izmantošanai ārpus Eiropas Ekonomikas zonas. Ļoti bieži uz šiem numuriem nevar veikt izsaukumus no Latvijas Republikas publiskā elektronisko sakaru tīkla numuriem. Tomēr daļa no šiem numuriem tiek izmantota balss telefonijas pakalpojumiem, kuri tiek sniegti Latvijas Republikā. Pēc Nodevas ieviešanas ir prognozējams, ka nākamo trīs gadu laikā elektronisko sakaru komersanti atteiksies no </w:t>
            </w:r>
            <w:r w:rsidRPr="00684E5E">
              <w:rPr>
                <w:rFonts w:ascii="Times New Roman" w:hAnsi="Times New Roman"/>
                <w:sz w:val="24"/>
                <w:szCs w:val="24"/>
              </w:rPr>
              <w:t>bezmaksas izsaukuma pakalpojuma</w:t>
            </w:r>
            <w:r>
              <w:rPr>
                <w:rFonts w:ascii="Times New Roman" w:hAnsi="Times New Roman"/>
                <w:sz w:val="24"/>
                <w:szCs w:val="24"/>
              </w:rPr>
              <w:t xml:space="preserve"> numuriem no 9792 numuriem 2020.gadā līdz 3000 numuriem 2023.gadā. </w:t>
            </w:r>
          </w:p>
          <w:p w14:paraId="282A8003" w14:textId="77777777" w:rsidR="00F60899" w:rsidRPr="00AF5D54" w:rsidRDefault="00F60899" w:rsidP="00AF5D54">
            <w:pPr>
              <w:spacing w:after="0" w:line="240" w:lineRule="auto"/>
              <w:jc w:val="both"/>
              <w:rPr>
                <w:rFonts w:ascii="Times New Roman" w:hAnsi="Times New Roman"/>
                <w:sz w:val="24"/>
                <w:szCs w:val="24"/>
                <w:u w:val="single"/>
              </w:rPr>
            </w:pPr>
            <w:r w:rsidRPr="00AF5D54">
              <w:rPr>
                <w:rFonts w:ascii="Times New Roman" w:hAnsi="Times New Roman"/>
                <w:sz w:val="24"/>
                <w:szCs w:val="24"/>
                <w:u w:val="single"/>
              </w:rPr>
              <w:t xml:space="preserve">Dalītās samaksas pakalpojuma numuri. </w:t>
            </w:r>
          </w:p>
          <w:p w14:paraId="017DAFA3" w14:textId="77777777" w:rsidR="00F60899" w:rsidRDefault="00F60899" w:rsidP="00AF5D54">
            <w:pPr>
              <w:spacing w:after="0" w:line="240" w:lineRule="auto"/>
              <w:jc w:val="both"/>
              <w:rPr>
                <w:rFonts w:ascii="Times New Roman" w:hAnsi="Times New Roman"/>
                <w:sz w:val="24"/>
                <w:szCs w:val="24"/>
              </w:rPr>
            </w:pPr>
            <w:r w:rsidRPr="00684E5E">
              <w:rPr>
                <w:rFonts w:ascii="Times New Roman" w:hAnsi="Times New Roman"/>
                <w:sz w:val="24"/>
                <w:szCs w:val="24"/>
              </w:rPr>
              <w:t>Dalīt</w:t>
            </w:r>
            <w:r>
              <w:rPr>
                <w:rFonts w:ascii="Times New Roman" w:hAnsi="Times New Roman"/>
                <w:sz w:val="24"/>
                <w:szCs w:val="24"/>
              </w:rPr>
              <w:t>ā</w:t>
            </w:r>
            <w:r w:rsidRPr="00684E5E">
              <w:rPr>
                <w:rFonts w:ascii="Times New Roman" w:hAnsi="Times New Roman"/>
                <w:sz w:val="24"/>
                <w:szCs w:val="24"/>
              </w:rPr>
              <w:t>s samaksas pakalpojuma</w:t>
            </w:r>
            <w:r w:rsidRPr="00776A06">
              <w:rPr>
                <w:rFonts w:ascii="Times New Roman" w:hAnsi="Times New Roman"/>
                <w:sz w:val="24"/>
                <w:szCs w:val="24"/>
              </w:rPr>
              <w:t xml:space="preserve"> numuri </w:t>
            </w:r>
            <w:r>
              <w:rPr>
                <w:rFonts w:ascii="Times New Roman" w:hAnsi="Times New Roman"/>
                <w:sz w:val="24"/>
                <w:szCs w:val="24"/>
              </w:rPr>
              <w:t xml:space="preserve">arī </w:t>
            </w:r>
            <w:r w:rsidRPr="00776A06">
              <w:rPr>
                <w:rFonts w:ascii="Times New Roman" w:hAnsi="Times New Roman"/>
                <w:sz w:val="24"/>
                <w:szCs w:val="24"/>
              </w:rPr>
              <w:t xml:space="preserve">ir viens no numerācijas veidiem, kuri </w:t>
            </w:r>
            <w:r>
              <w:rPr>
                <w:rFonts w:ascii="Times New Roman" w:hAnsi="Times New Roman"/>
                <w:sz w:val="24"/>
                <w:szCs w:val="24"/>
              </w:rPr>
              <w:t>tiek</w:t>
            </w:r>
            <w:r w:rsidRPr="00776A06">
              <w:rPr>
                <w:rFonts w:ascii="Times New Roman" w:hAnsi="Times New Roman"/>
                <w:sz w:val="24"/>
                <w:szCs w:val="24"/>
              </w:rPr>
              <w:t xml:space="preserve"> eksportēti </w:t>
            </w:r>
            <w:r>
              <w:rPr>
                <w:rFonts w:ascii="Times New Roman" w:hAnsi="Times New Roman"/>
                <w:sz w:val="24"/>
                <w:szCs w:val="24"/>
              </w:rPr>
              <w:t xml:space="preserve">un izmantoti </w:t>
            </w:r>
            <w:r w:rsidRPr="00776A06">
              <w:rPr>
                <w:rFonts w:ascii="Times New Roman" w:hAnsi="Times New Roman"/>
                <w:sz w:val="24"/>
                <w:szCs w:val="24"/>
              </w:rPr>
              <w:t xml:space="preserve">ārpus Latvijas </w:t>
            </w:r>
            <w:r>
              <w:rPr>
                <w:rFonts w:ascii="Times New Roman" w:hAnsi="Times New Roman"/>
                <w:sz w:val="24"/>
                <w:szCs w:val="24"/>
              </w:rPr>
              <w:t>Republikas,</w:t>
            </w:r>
            <w:r w:rsidRPr="00776A06">
              <w:rPr>
                <w:rFonts w:ascii="Times New Roman" w:hAnsi="Times New Roman"/>
                <w:sz w:val="24"/>
                <w:szCs w:val="24"/>
              </w:rPr>
              <w:t xml:space="preserve"> galvenokārt ārpus </w:t>
            </w:r>
            <w:r>
              <w:rPr>
                <w:rFonts w:ascii="Times New Roman" w:hAnsi="Times New Roman"/>
                <w:sz w:val="24"/>
                <w:szCs w:val="24"/>
              </w:rPr>
              <w:t>Eiropas Ekonomiskas zonas</w:t>
            </w:r>
            <w:r w:rsidRPr="00776A06">
              <w:rPr>
                <w:rFonts w:ascii="Times New Roman" w:hAnsi="Times New Roman"/>
                <w:sz w:val="24"/>
                <w:szCs w:val="24"/>
              </w:rPr>
              <w:t xml:space="preserve">. </w:t>
            </w:r>
            <w:r>
              <w:rPr>
                <w:rFonts w:ascii="Times New Roman" w:hAnsi="Times New Roman"/>
                <w:sz w:val="24"/>
                <w:szCs w:val="24"/>
              </w:rPr>
              <w:t xml:space="preserve">Lielākoties </w:t>
            </w:r>
            <w:r w:rsidRPr="00776A06">
              <w:rPr>
                <w:rFonts w:ascii="Times New Roman" w:hAnsi="Times New Roman"/>
                <w:sz w:val="24"/>
                <w:szCs w:val="24"/>
              </w:rPr>
              <w:t xml:space="preserve">uz šiem numuriem nevar </w:t>
            </w:r>
            <w:r>
              <w:rPr>
                <w:rFonts w:ascii="Times New Roman" w:hAnsi="Times New Roman"/>
                <w:sz w:val="24"/>
                <w:szCs w:val="24"/>
              </w:rPr>
              <w:t xml:space="preserve">veikt izsaukumus </w:t>
            </w:r>
            <w:r w:rsidRPr="00776A06">
              <w:rPr>
                <w:rFonts w:ascii="Times New Roman" w:hAnsi="Times New Roman"/>
                <w:sz w:val="24"/>
                <w:szCs w:val="24"/>
              </w:rPr>
              <w:t xml:space="preserve">no Latvijas </w:t>
            </w:r>
            <w:r>
              <w:rPr>
                <w:rFonts w:ascii="Times New Roman" w:hAnsi="Times New Roman"/>
                <w:sz w:val="24"/>
                <w:szCs w:val="24"/>
              </w:rPr>
              <w:t xml:space="preserve">Republikas publiskā elektronisko sakaru </w:t>
            </w:r>
            <w:r w:rsidRPr="00776A06">
              <w:rPr>
                <w:rFonts w:ascii="Times New Roman" w:hAnsi="Times New Roman"/>
                <w:sz w:val="24"/>
                <w:szCs w:val="24"/>
              </w:rPr>
              <w:t xml:space="preserve">tīkla numuriem. </w:t>
            </w:r>
            <w:r>
              <w:rPr>
                <w:rFonts w:ascii="Times New Roman" w:hAnsi="Times New Roman"/>
                <w:sz w:val="24"/>
                <w:szCs w:val="24"/>
              </w:rPr>
              <w:t xml:space="preserve">Daļa no šiem numuriem bieži vien tiek izmantota </w:t>
            </w:r>
            <w:proofErr w:type="spellStart"/>
            <w:r>
              <w:rPr>
                <w:rFonts w:ascii="Times New Roman" w:hAnsi="Times New Roman"/>
                <w:sz w:val="24"/>
                <w:szCs w:val="24"/>
              </w:rPr>
              <w:t>krāpniecībā</w:t>
            </w:r>
            <w:proofErr w:type="spellEnd"/>
            <w:r>
              <w:rPr>
                <w:rFonts w:ascii="Times New Roman" w:hAnsi="Times New Roman"/>
                <w:sz w:val="24"/>
                <w:szCs w:val="24"/>
              </w:rPr>
              <w:t xml:space="preserve">, izmantojot numerāciju. Ir ļoti maz gadījumu, kad šie numuri tiek izmantoti elektronisko sakaru </w:t>
            </w:r>
            <w:r w:rsidRPr="00776A06">
              <w:rPr>
                <w:rFonts w:ascii="Times New Roman" w:hAnsi="Times New Roman"/>
                <w:sz w:val="24"/>
                <w:szCs w:val="24"/>
              </w:rPr>
              <w:t>pakalpojum</w:t>
            </w:r>
            <w:r>
              <w:rPr>
                <w:rFonts w:ascii="Times New Roman" w:hAnsi="Times New Roman"/>
                <w:sz w:val="24"/>
                <w:szCs w:val="24"/>
              </w:rPr>
              <w:t>u sniegšanai</w:t>
            </w:r>
            <w:r w:rsidRPr="00776A06">
              <w:rPr>
                <w:rFonts w:ascii="Times New Roman" w:hAnsi="Times New Roman"/>
                <w:sz w:val="24"/>
                <w:szCs w:val="24"/>
              </w:rPr>
              <w:t xml:space="preserve"> Latvijas Republikā. Pēc </w:t>
            </w:r>
            <w:r>
              <w:rPr>
                <w:rFonts w:ascii="Times New Roman" w:hAnsi="Times New Roman"/>
                <w:sz w:val="24"/>
                <w:szCs w:val="24"/>
              </w:rPr>
              <w:t xml:space="preserve">Nodevas </w:t>
            </w:r>
            <w:r w:rsidRPr="00776A06">
              <w:rPr>
                <w:rFonts w:ascii="Times New Roman" w:hAnsi="Times New Roman"/>
                <w:sz w:val="24"/>
                <w:szCs w:val="24"/>
              </w:rPr>
              <w:t>ieviešan</w:t>
            </w:r>
            <w:r>
              <w:rPr>
                <w:rFonts w:ascii="Times New Roman" w:hAnsi="Times New Roman"/>
                <w:sz w:val="24"/>
                <w:szCs w:val="24"/>
              </w:rPr>
              <w:t>a</w:t>
            </w:r>
            <w:r w:rsidRPr="00776A06">
              <w:rPr>
                <w:rFonts w:ascii="Times New Roman" w:hAnsi="Times New Roman"/>
                <w:sz w:val="24"/>
                <w:szCs w:val="24"/>
              </w:rPr>
              <w:t xml:space="preserve">s </w:t>
            </w:r>
            <w:r>
              <w:rPr>
                <w:rFonts w:ascii="Times New Roman" w:hAnsi="Times New Roman"/>
                <w:sz w:val="24"/>
                <w:szCs w:val="24"/>
              </w:rPr>
              <w:t>tiek prognozēts, ka elektronisko sakaru komersanti atteiksies no d</w:t>
            </w:r>
            <w:r w:rsidRPr="00684E5E">
              <w:rPr>
                <w:rFonts w:ascii="Times New Roman" w:hAnsi="Times New Roman"/>
                <w:sz w:val="24"/>
                <w:szCs w:val="24"/>
              </w:rPr>
              <w:t>alīt</w:t>
            </w:r>
            <w:r>
              <w:rPr>
                <w:rFonts w:ascii="Times New Roman" w:hAnsi="Times New Roman"/>
                <w:sz w:val="24"/>
                <w:szCs w:val="24"/>
              </w:rPr>
              <w:t>ā</w:t>
            </w:r>
            <w:r w:rsidRPr="00684E5E">
              <w:rPr>
                <w:rFonts w:ascii="Times New Roman" w:hAnsi="Times New Roman"/>
                <w:sz w:val="24"/>
                <w:szCs w:val="24"/>
              </w:rPr>
              <w:t>s samaksas pakalpojuma</w:t>
            </w:r>
            <w:r>
              <w:rPr>
                <w:rFonts w:ascii="Times New Roman" w:hAnsi="Times New Roman"/>
                <w:sz w:val="24"/>
                <w:szCs w:val="24"/>
              </w:rPr>
              <w:t xml:space="preserve"> numuriem no 2500</w:t>
            </w:r>
            <w:r w:rsidRPr="00776A06">
              <w:rPr>
                <w:rFonts w:ascii="Times New Roman" w:hAnsi="Times New Roman"/>
                <w:sz w:val="24"/>
                <w:szCs w:val="24"/>
              </w:rPr>
              <w:t xml:space="preserve"> </w:t>
            </w:r>
            <w:r>
              <w:rPr>
                <w:rFonts w:ascii="Times New Roman" w:hAnsi="Times New Roman"/>
                <w:sz w:val="24"/>
                <w:szCs w:val="24"/>
              </w:rPr>
              <w:t xml:space="preserve">numuriem </w:t>
            </w:r>
            <w:r w:rsidRPr="00776A06">
              <w:rPr>
                <w:rFonts w:ascii="Times New Roman" w:hAnsi="Times New Roman"/>
                <w:sz w:val="24"/>
                <w:szCs w:val="24"/>
              </w:rPr>
              <w:t xml:space="preserve">2020.gadā līdz 300 </w:t>
            </w:r>
            <w:r>
              <w:rPr>
                <w:rFonts w:ascii="Times New Roman" w:hAnsi="Times New Roman"/>
                <w:sz w:val="24"/>
                <w:szCs w:val="24"/>
              </w:rPr>
              <w:t xml:space="preserve">numuriem </w:t>
            </w:r>
            <w:r w:rsidRPr="00776A06">
              <w:rPr>
                <w:rFonts w:ascii="Times New Roman" w:hAnsi="Times New Roman"/>
                <w:sz w:val="24"/>
                <w:szCs w:val="24"/>
              </w:rPr>
              <w:t>2023.gadā.</w:t>
            </w:r>
          </w:p>
          <w:p w14:paraId="4DC7AAB3" w14:textId="77777777" w:rsidR="00F60899" w:rsidRPr="00AF5D54" w:rsidRDefault="00F60899" w:rsidP="00AF5D54">
            <w:pPr>
              <w:spacing w:after="0" w:line="240" w:lineRule="auto"/>
              <w:jc w:val="both"/>
              <w:rPr>
                <w:rFonts w:ascii="Times New Roman" w:hAnsi="Times New Roman"/>
                <w:sz w:val="24"/>
                <w:szCs w:val="24"/>
                <w:u w:val="single"/>
              </w:rPr>
            </w:pPr>
            <w:r w:rsidRPr="00AF5D54">
              <w:rPr>
                <w:rFonts w:ascii="Times New Roman" w:hAnsi="Times New Roman"/>
                <w:sz w:val="24"/>
                <w:szCs w:val="24"/>
                <w:u w:val="single"/>
              </w:rPr>
              <w:t xml:space="preserve">Papildu samaksas pakalpojuma numuri. </w:t>
            </w:r>
          </w:p>
          <w:p w14:paraId="7FEC6E7D" w14:textId="77777777" w:rsidR="00F60899" w:rsidRDefault="00F60899" w:rsidP="00AF5D54">
            <w:pPr>
              <w:spacing w:after="0" w:line="240" w:lineRule="auto"/>
              <w:jc w:val="both"/>
              <w:rPr>
                <w:rFonts w:ascii="Times New Roman" w:hAnsi="Times New Roman"/>
                <w:sz w:val="24"/>
                <w:szCs w:val="24"/>
              </w:rPr>
            </w:pPr>
            <w:r>
              <w:rPr>
                <w:rFonts w:ascii="Times New Roman" w:hAnsi="Times New Roman"/>
                <w:sz w:val="24"/>
                <w:szCs w:val="24"/>
              </w:rPr>
              <w:t xml:space="preserve">Liela daļa no </w:t>
            </w:r>
            <w:r w:rsidRPr="00684E5E">
              <w:rPr>
                <w:rFonts w:ascii="Times New Roman" w:hAnsi="Times New Roman"/>
                <w:sz w:val="24"/>
                <w:szCs w:val="24"/>
              </w:rPr>
              <w:t>papildu samaksas pakalpojuma</w:t>
            </w:r>
            <w:r>
              <w:rPr>
                <w:rFonts w:ascii="Times New Roman" w:hAnsi="Times New Roman"/>
                <w:sz w:val="24"/>
                <w:szCs w:val="24"/>
              </w:rPr>
              <w:t xml:space="preserve"> numuriem ir eksportēti ārpus Latvijas Republikas un tiek izmantoti </w:t>
            </w:r>
            <w:proofErr w:type="spellStart"/>
            <w:r>
              <w:rPr>
                <w:rFonts w:ascii="Times New Roman" w:hAnsi="Times New Roman"/>
                <w:sz w:val="24"/>
                <w:szCs w:val="24"/>
              </w:rPr>
              <w:t>krāpniecībā</w:t>
            </w:r>
            <w:proofErr w:type="spellEnd"/>
            <w:r>
              <w:rPr>
                <w:rFonts w:ascii="Times New Roman" w:hAnsi="Times New Roman"/>
                <w:sz w:val="24"/>
                <w:szCs w:val="24"/>
              </w:rPr>
              <w:t xml:space="preserve">, izmantojot numerāciju. Daļa tiek izmantota elektronisko sakaru pakalpojumiem ar paaugstinātu tarifu (piemēram, balsošana pa telefonu), kuri tiek sniegti Latvijas Republikā. </w:t>
            </w:r>
            <w:r w:rsidRPr="00776A06">
              <w:rPr>
                <w:rFonts w:ascii="Times New Roman" w:hAnsi="Times New Roman"/>
                <w:sz w:val="24"/>
                <w:szCs w:val="24"/>
              </w:rPr>
              <w:t xml:space="preserve">Pēc </w:t>
            </w:r>
            <w:r>
              <w:rPr>
                <w:rFonts w:ascii="Times New Roman" w:hAnsi="Times New Roman"/>
                <w:sz w:val="24"/>
                <w:szCs w:val="24"/>
              </w:rPr>
              <w:t>Nodevas</w:t>
            </w:r>
            <w:r w:rsidRPr="00776A06">
              <w:rPr>
                <w:rFonts w:ascii="Times New Roman" w:hAnsi="Times New Roman"/>
                <w:sz w:val="24"/>
                <w:szCs w:val="24"/>
              </w:rPr>
              <w:t xml:space="preserve"> ieviešan</w:t>
            </w:r>
            <w:r>
              <w:rPr>
                <w:rFonts w:ascii="Times New Roman" w:hAnsi="Times New Roman"/>
                <w:sz w:val="24"/>
                <w:szCs w:val="24"/>
              </w:rPr>
              <w:t>a</w:t>
            </w:r>
            <w:r w:rsidRPr="00776A06">
              <w:rPr>
                <w:rFonts w:ascii="Times New Roman" w:hAnsi="Times New Roman"/>
                <w:sz w:val="24"/>
                <w:szCs w:val="24"/>
              </w:rPr>
              <w:t xml:space="preserve">s </w:t>
            </w:r>
            <w:r>
              <w:rPr>
                <w:rFonts w:ascii="Times New Roman" w:hAnsi="Times New Roman"/>
                <w:sz w:val="24"/>
                <w:szCs w:val="24"/>
              </w:rPr>
              <w:t xml:space="preserve">tiek prognozēts, ka elektronisko skaru komersanti atteiksies no </w:t>
            </w:r>
            <w:r w:rsidRPr="00684E5E">
              <w:rPr>
                <w:rFonts w:ascii="Times New Roman" w:hAnsi="Times New Roman"/>
                <w:sz w:val="24"/>
                <w:szCs w:val="24"/>
              </w:rPr>
              <w:t>papildu samaksas pakalpojuma</w:t>
            </w:r>
            <w:r>
              <w:rPr>
                <w:rFonts w:ascii="Times New Roman" w:hAnsi="Times New Roman"/>
                <w:sz w:val="24"/>
                <w:szCs w:val="24"/>
              </w:rPr>
              <w:t xml:space="preserve"> numuriem no 8852 numuriem 2020.gadā līdz 5000 numuriem 2023.gadā.</w:t>
            </w:r>
          </w:p>
          <w:p w14:paraId="2C57B86F" w14:textId="77777777" w:rsidR="00F60899" w:rsidRPr="00AF5D54" w:rsidRDefault="00F60899" w:rsidP="00AF5D54">
            <w:pPr>
              <w:spacing w:after="0" w:line="240" w:lineRule="auto"/>
              <w:jc w:val="both"/>
              <w:rPr>
                <w:rFonts w:ascii="Times New Roman" w:hAnsi="Times New Roman"/>
                <w:sz w:val="24"/>
                <w:szCs w:val="24"/>
                <w:u w:val="single"/>
              </w:rPr>
            </w:pPr>
            <w:r w:rsidRPr="00AF5D54">
              <w:rPr>
                <w:rFonts w:ascii="Times New Roman" w:hAnsi="Times New Roman"/>
                <w:sz w:val="24"/>
                <w:szCs w:val="24"/>
                <w:u w:val="single"/>
              </w:rPr>
              <w:t xml:space="preserve">Citu veidu pakalpojuma numuri. </w:t>
            </w:r>
          </w:p>
          <w:p w14:paraId="3C4B3A17" w14:textId="77777777" w:rsidR="00F60899" w:rsidRDefault="00F60899" w:rsidP="00AF5D54">
            <w:pPr>
              <w:spacing w:after="0" w:line="240" w:lineRule="auto"/>
              <w:jc w:val="both"/>
              <w:rPr>
                <w:rFonts w:ascii="Times New Roman" w:hAnsi="Times New Roman"/>
                <w:sz w:val="24"/>
                <w:szCs w:val="24"/>
              </w:rPr>
            </w:pPr>
            <w:r>
              <w:rPr>
                <w:rFonts w:ascii="Times New Roman" w:hAnsi="Times New Roman"/>
                <w:sz w:val="24"/>
                <w:szCs w:val="24"/>
              </w:rPr>
              <w:t xml:space="preserve">Liela daļa no </w:t>
            </w:r>
            <w:r w:rsidRPr="00684E5E">
              <w:rPr>
                <w:rFonts w:ascii="Times New Roman" w:hAnsi="Times New Roman"/>
                <w:sz w:val="24"/>
                <w:szCs w:val="24"/>
              </w:rPr>
              <w:t>citu veidu pakalpojuma</w:t>
            </w:r>
            <w:r>
              <w:rPr>
                <w:rFonts w:ascii="Times New Roman" w:hAnsi="Times New Roman"/>
                <w:sz w:val="24"/>
                <w:szCs w:val="24"/>
              </w:rPr>
              <w:t xml:space="preserve"> numuriem ir eksportēti ārpus Latvijas Republikas un tiek izmantoti </w:t>
            </w:r>
            <w:proofErr w:type="spellStart"/>
            <w:r>
              <w:rPr>
                <w:rFonts w:ascii="Times New Roman" w:hAnsi="Times New Roman"/>
                <w:sz w:val="24"/>
                <w:szCs w:val="24"/>
              </w:rPr>
              <w:t>krāpniecībā</w:t>
            </w:r>
            <w:proofErr w:type="spellEnd"/>
            <w:r>
              <w:rPr>
                <w:rFonts w:ascii="Times New Roman" w:hAnsi="Times New Roman"/>
                <w:sz w:val="24"/>
                <w:szCs w:val="24"/>
              </w:rPr>
              <w:t xml:space="preserve">, izmantojot numerāciju. Praktiski </w:t>
            </w:r>
            <w:r w:rsidRPr="00776A06">
              <w:rPr>
                <w:rFonts w:ascii="Times New Roman" w:hAnsi="Times New Roman"/>
                <w:sz w:val="24"/>
                <w:szCs w:val="24"/>
              </w:rPr>
              <w:t xml:space="preserve">uz šiem numuriem nevar </w:t>
            </w:r>
            <w:r>
              <w:rPr>
                <w:rFonts w:ascii="Times New Roman" w:hAnsi="Times New Roman"/>
                <w:sz w:val="24"/>
                <w:szCs w:val="24"/>
              </w:rPr>
              <w:t xml:space="preserve">veikt izsaukumus </w:t>
            </w:r>
            <w:r w:rsidRPr="00776A06">
              <w:rPr>
                <w:rFonts w:ascii="Times New Roman" w:hAnsi="Times New Roman"/>
                <w:sz w:val="24"/>
                <w:szCs w:val="24"/>
              </w:rPr>
              <w:t xml:space="preserve">no Latvijas </w:t>
            </w:r>
            <w:r>
              <w:rPr>
                <w:rFonts w:ascii="Times New Roman" w:hAnsi="Times New Roman"/>
                <w:sz w:val="24"/>
                <w:szCs w:val="24"/>
              </w:rPr>
              <w:t xml:space="preserve">Republikas publiskā elektronisko sakaru </w:t>
            </w:r>
            <w:r w:rsidRPr="00776A06">
              <w:rPr>
                <w:rFonts w:ascii="Times New Roman" w:hAnsi="Times New Roman"/>
                <w:sz w:val="24"/>
                <w:szCs w:val="24"/>
              </w:rPr>
              <w:t>tīkla numuriem.</w:t>
            </w:r>
            <w:r>
              <w:rPr>
                <w:rFonts w:ascii="Times New Roman" w:hAnsi="Times New Roman"/>
                <w:sz w:val="24"/>
                <w:szCs w:val="24"/>
              </w:rPr>
              <w:t xml:space="preserve"> Daļa no </w:t>
            </w:r>
            <w:r w:rsidRPr="00F7589D">
              <w:rPr>
                <w:rFonts w:ascii="Times New Roman" w:hAnsi="Times New Roman"/>
                <w:sz w:val="24"/>
                <w:szCs w:val="24"/>
              </w:rPr>
              <w:t>citu veidu pakalpojuma</w:t>
            </w:r>
            <w:r>
              <w:rPr>
                <w:rFonts w:ascii="Times New Roman" w:hAnsi="Times New Roman"/>
                <w:sz w:val="24"/>
                <w:szCs w:val="24"/>
              </w:rPr>
              <w:t xml:space="preserve"> numuriem tiek izmantota piekļuvei dažādām aplikācijām balss telefonijas nodrošināšanai izmantojot interneta protokola balss pārraides (</w:t>
            </w:r>
            <w:proofErr w:type="spellStart"/>
            <w:r w:rsidRPr="00AF5D54">
              <w:rPr>
                <w:rFonts w:ascii="Times New Roman" w:hAnsi="Times New Roman"/>
                <w:sz w:val="24"/>
                <w:szCs w:val="24"/>
              </w:rPr>
              <w:t>VoIP</w:t>
            </w:r>
            <w:proofErr w:type="spellEnd"/>
            <w:r>
              <w:rPr>
                <w:rFonts w:ascii="Times New Roman" w:hAnsi="Times New Roman"/>
                <w:sz w:val="24"/>
                <w:szCs w:val="24"/>
              </w:rPr>
              <w:t>) tehnoloģijas, kā arī citiem pakalpojumiem.</w:t>
            </w:r>
            <w:r w:rsidRPr="00D26ED6">
              <w:rPr>
                <w:rFonts w:ascii="Times New Roman" w:hAnsi="Times New Roman"/>
                <w:sz w:val="24"/>
                <w:szCs w:val="24"/>
              </w:rPr>
              <w:t xml:space="preserve"> </w:t>
            </w:r>
            <w:r>
              <w:rPr>
                <w:rFonts w:ascii="Times New Roman" w:hAnsi="Times New Roman"/>
                <w:sz w:val="24"/>
                <w:szCs w:val="24"/>
              </w:rPr>
              <w:t xml:space="preserve">Ļoti bieži </w:t>
            </w:r>
            <w:r w:rsidRPr="00776A06">
              <w:rPr>
                <w:rFonts w:ascii="Times New Roman" w:hAnsi="Times New Roman"/>
                <w:sz w:val="24"/>
                <w:szCs w:val="24"/>
              </w:rPr>
              <w:t xml:space="preserve">uz </w:t>
            </w:r>
            <w:r w:rsidRPr="00F7589D">
              <w:rPr>
                <w:rFonts w:ascii="Times New Roman" w:hAnsi="Times New Roman"/>
                <w:sz w:val="24"/>
                <w:szCs w:val="24"/>
              </w:rPr>
              <w:t>citu veidu pakalpojuma</w:t>
            </w:r>
            <w:r w:rsidRPr="00776A06">
              <w:rPr>
                <w:rFonts w:ascii="Times New Roman" w:hAnsi="Times New Roman"/>
                <w:sz w:val="24"/>
                <w:szCs w:val="24"/>
              </w:rPr>
              <w:t xml:space="preserve"> numuriem nevar piezvanīt no Latvijas </w:t>
            </w:r>
            <w:r>
              <w:rPr>
                <w:rFonts w:ascii="Times New Roman" w:hAnsi="Times New Roman"/>
                <w:sz w:val="24"/>
                <w:szCs w:val="24"/>
              </w:rPr>
              <w:t xml:space="preserve">Republikas </w:t>
            </w:r>
            <w:r w:rsidRPr="00776A06">
              <w:rPr>
                <w:rFonts w:ascii="Times New Roman" w:hAnsi="Times New Roman"/>
                <w:sz w:val="24"/>
                <w:szCs w:val="24"/>
              </w:rPr>
              <w:t>publisk</w:t>
            </w:r>
            <w:r>
              <w:rPr>
                <w:rFonts w:ascii="Times New Roman" w:hAnsi="Times New Roman"/>
                <w:sz w:val="24"/>
                <w:szCs w:val="24"/>
              </w:rPr>
              <w:t>ā</w:t>
            </w:r>
            <w:r w:rsidRPr="00776A06">
              <w:rPr>
                <w:rFonts w:ascii="Times New Roman" w:hAnsi="Times New Roman"/>
                <w:sz w:val="24"/>
                <w:szCs w:val="24"/>
              </w:rPr>
              <w:t xml:space="preserve"> </w:t>
            </w:r>
            <w:r>
              <w:rPr>
                <w:rFonts w:ascii="Times New Roman" w:hAnsi="Times New Roman"/>
                <w:sz w:val="24"/>
                <w:szCs w:val="24"/>
              </w:rPr>
              <w:t>elektronisko sakaru</w:t>
            </w:r>
            <w:r w:rsidRPr="00776A06">
              <w:rPr>
                <w:rFonts w:ascii="Times New Roman" w:hAnsi="Times New Roman"/>
                <w:sz w:val="24"/>
                <w:szCs w:val="24"/>
              </w:rPr>
              <w:t xml:space="preserve"> tīkla numuriem.</w:t>
            </w:r>
            <w:r>
              <w:rPr>
                <w:rFonts w:ascii="Times New Roman" w:hAnsi="Times New Roman"/>
                <w:sz w:val="24"/>
                <w:szCs w:val="24"/>
              </w:rPr>
              <w:t xml:space="preserve"> </w:t>
            </w:r>
            <w:r w:rsidRPr="00776A06">
              <w:rPr>
                <w:rFonts w:ascii="Times New Roman" w:hAnsi="Times New Roman"/>
                <w:sz w:val="24"/>
                <w:szCs w:val="24"/>
              </w:rPr>
              <w:t xml:space="preserve">Pēc </w:t>
            </w:r>
            <w:r>
              <w:rPr>
                <w:rFonts w:ascii="Times New Roman" w:hAnsi="Times New Roman"/>
                <w:sz w:val="24"/>
                <w:szCs w:val="24"/>
              </w:rPr>
              <w:t>Nodevas</w:t>
            </w:r>
            <w:r w:rsidRPr="00776A06">
              <w:rPr>
                <w:rFonts w:ascii="Times New Roman" w:hAnsi="Times New Roman"/>
                <w:sz w:val="24"/>
                <w:szCs w:val="24"/>
              </w:rPr>
              <w:t xml:space="preserve"> ieviešan</w:t>
            </w:r>
            <w:r>
              <w:rPr>
                <w:rFonts w:ascii="Times New Roman" w:hAnsi="Times New Roman"/>
                <w:sz w:val="24"/>
                <w:szCs w:val="24"/>
              </w:rPr>
              <w:t>a</w:t>
            </w:r>
            <w:r w:rsidRPr="00776A06">
              <w:rPr>
                <w:rFonts w:ascii="Times New Roman" w:hAnsi="Times New Roman"/>
                <w:sz w:val="24"/>
                <w:szCs w:val="24"/>
              </w:rPr>
              <w:t xml:space="preserve">s </w:t>
            </w:r>
            <w:r>
              <w:rPr>
                <w:rFonts w:ascii="Times New Roman" w:hAnsi="Times New Roman"/>
                <w:sz w:val="24"/>
                <w:szCs w:val="24"/>
              </w:rPr>
              <w:t xml:space="preserve">tiek prognozēts, ka elektronisko skaru komersanti atteiksies no </w:t>
            </w:r>
            <w:r w:rsidRPr="00F7589D">
              <w:rPr>
                <w:rFonts w:ascii="Times New Roman" w:hAnsi="Times New Roman"/>
                <w:sz w:val="24"/>
                <w:szCs w:val="24"/>
              </w:rPr>
              <w:t>citu veidu pakalpojuma</w:t>
            </w:r>
            <w:r>
              <w:rPr>
                <w:rFonts w:ascii="Times New Roman" w:hAnsi="Times New Roman"/>
                <w:sz w:val="24"/>
                <w:szCs w:val="24"/>
              </w:rPr>
              <w:t xml:space="preserve"> numuriem no 64 047 numuriem 2020.gadā līdz 5000 numuriem 2023.gadā.</w:t>
            </w:r>
          </w:p>
          <w:p w14:paraId="2D004DF0" w14:textId="77777777" w:rsidR="00F60899" w:rsidRPr="00AF5D54" w:rsidRDefault="00F60899" w:rsidP="00AF5D54">
            <w:pPr>
              <w:spacing w:after="0" w:line="240" w:lineRule="auto"/>
              <w:jc w:val="both"/>
              <w:rPr>
                <w:rFonts w:ascii="Times New Roman" w:hAnsi="Times New Roman"/>
                <w:sz w:val="24"/>
                <w:szCs w:val="24"/>
                <w:u w:val="single"/>
              </w:rPr>
            </w:pPr>
            <w:r w:rsidRPr="00AF5D54">
              <w:rPr>
                <w:rFonts w:ascii="Times New Roman" w:hAnsi="Times New Roman"/>
                <w:sz w:val="24"/>
                <w:szCs w:val="24"/>
                <w:u w:val="single"/>
              </w:rPr>
              <w:t xml:space="preserve">Publiskā fiksētā telefonu tīkla numuri. </w:t>
            </w:r>
          </w:p>
          <w:p w14:paraId="7FBAB1E5" w14:textId="77777777" w:rsidR="00F60899" w:rsidRPr="00BA7598" w:rsidRDefault="00F60899" w:rsidP="00AF5D54">
            <w:pPr>
              <w:spacing w:after="0" w:line="240" w:lineRule="auto"/>
              <w:jc w:val="both"/>
              <w:rPr>
                <w:rFonts w:ascii="Times New Roman" w:hAnsi="Times New Roman"/>
                <w:sz w:val="24"/>
                <w:szCs w:val="24"/>
              </w:rPr>
            </w:pPr>
            <w:r>
              <w:rPr>
                <w:rFonts w:ascii="Times New Roman" w:hAnsi="Times New Roman"/>
                <w:sz w:val="24"/>
                <w:szCs w:val="24"/>
              </w:rPr>
              <w:t xml:space="preserve">Nodevu par publiskā fiksētā telefonu tīkla numuriem ir plānots ieviest no 2022.gada. </w:t>
            </w:r>
            <w:r w:rsidR="00D3327E">
              <w:rPr>
                <w:rFonts w:ascii="Times New Roman" w:hAnsi="Times New Roman"/>
                <w:sz w:val="24"/>
                <w:szCs w:val="24"/>
              </w:rPr>
              <w:t xml:space="preserve">Laika periodā līdz </w:t>
            </w:r>
            <w:r>
              <w:rPr>
                <w:rFonts w:ascii="Times New Roman" w:hAnsi="Times New Roman"/>
                <w:sz w:val="24"/>
                <w:szCs w:val="24"/>
              </w:rPr>
              <w:t>2022.gad</w:t>
            </w:r>
            <w:r w:rsidR="00D3327E">
              <w:rPr>
                <w:rFonts w:ascii="Times New Roman" w:hAnsi="Times New Roman"/>
                <w:sz w:val="24"/>
                <w:szCs w:val="24"/>
              </w:rPr>
              <w:t xml:space="preserve">am </w:t>
            </w:r>
            <w:r w:rsidRPr="00BA7598">
              <w:rPr>
                <w:rFonts w:ascii="Times New Roman" w:hAnsi="Times New Roman"/>
                <w:sz w:val="24"/>
                <w:szCs w:val="24"/>
              </w:rPr>
              <w:t xml:space="preserve">elektronisko sakaru komersanti </w:t>
            </w:r>
            <w:r>
              <w:rPr>
                <w:rFonts w:ascii="Times New Roman" w:hAnsi="Times New Roman"/>
                <w:sz w:val="24"/>
                <w:szCs w:val="24"/>
              </w:rPr>
              <w:t>var</w:t>
            </w:r>
            <w:r w:rsidR="005F2049">
              <w:rPr>
                <w:rFonts w:ascii="Times New Roman" w:hAnsi="Times New Roman"/>
                <w:sz w:val="24"/>
                <w:szCs w:val="24"/>
              </w:rPr>
              <w:t>ēs</w:t>
            </w:r>
            <w:r w:rsidRPr="00BA7598">
              <w:rPr>
                <w:rFonts w:ascii="Times New Roman" w:hAnsi="Times New Roman"/>
                <w:sz w:val="24"/>
                <w:szCs w:val="24"/>
              </w:rPr>
              <w:t xml:space="preserve"> </w:t>
            </w:r>
            <w:proofErr w:type="spellStart"/>
            <w:r w:rsidRPr="00BA7598">
              <w:rPr>
                <w:rFonts w:ascii="Times New Roman" w:hAnsi="Times New Roman"/>
                <w:sz w:val="24"/>
                <w:szCs w:val="24"/>
              </w:rPr>
              <w:t>efektivizēt</w:t>
            </w:r>
            <w:proofErr w:type="spellEnd"/>
            <w:r w:rsidRPr="00BA7598">
              <w:rPr>
                <w:rFonts w:ascii="Times New Roman" w:hAnsi="Times New Roman"/>
                <w:sz w:val="24"/>
                <w:szCs w:val="24"/>
              </w:rPr>
              <w:t xml:space="preserve"> tiem iepriekš piešķirto numerācijas lietošanas tiesību izmantošanu</w:t>
            </w:r>
            <w:r w:rsidR="00F85FB4">
              <w:rPr>
                <w:rFonts w:ascii="Times New Roman" w:hAnsi="Times New Roman"/>
                <w:sz w:val="24"/>
                <w:szCs w:val="24"/>
              </w:rPr>
              <w:t xml:space="preserve"> pēc ģeogrāfiskās numerācijas atcelšanas Latvij</w:t>
            </w:r>
            <w:r w:rsidR="006C1726">
              <w:rPr>
                <w:rFonts w:ascii="Times New Roman" w:hAnsi="Times New Roman"/>
                <w:sz w:val="24"/>
                <w:szCs w:val="24"/>
              </w:rPr>
              <w:t>as Republikā</w:t>
            </w:r>
            <w:r w:rsidRPr="00BA7598" w:rsidDel="00AD24F9">
              <w:rPr>
                <w:rFonts w:ascii="Times New Roman" w:hAnsi="Times New Roman"/>
                <w:sz w:val="24"/>
                <w:szCs w:val="24"/>
              </w:rPr>
              <w:t xml:space="preserve"> </w:t>
            </w:r>
            <w:r w:rsidRPr="00BA7598">
              <w:rPr>
                <w:rFonts w:ascii="Times New Roman" w:hAnsi="Times New Roman"/>
                <w:sz w:val="24"/>
                <w:szCs w:val="24"/>
              </w:rPr>
              <w:t>un</w:t>
            </w:r>
            <w:r>
              <w:rPr>
                <w:rFonts w:ascii="Times New Roman" w:hAnsi="Times New Roman"/>
                <w:sz w:val="24"/>
                <w:szCs w:val="24"/>
              </w:rPr>
              <w:t xml:space="preserve"> nepieciešamības gadījumā </w:t>
            </w:r>
            <w:r w:rsidRPr="00BA7598">
              <w:rPr>
                <w:rFonts w:ascii="Times New Roman" w:hAnsi="Times New Roman"/>
                <w:sz w:val="24"/>
                <w:szCs w:val="24"/>
              </w:rPr>
              <w:t>atteikt</w:t>
            </w:r>
            <w:r w:rsidR="00D3327E">
              <w:rPr>
                <w:rFonts w:ascii="Times New Roman" w:hAnsi="Times New Roman"/>
                <w:sz w:val="24"/>
                <w:szCs w:val="24"/>
              </w:rPr>
              <w:t>ie</w:t>
            </w:r>
            <w:r w:rsidRPr="00BA7598">
              <w:rPr>
                <w:rFonts w:ascii="Times New Roman" w:hAnsi="Times New Roman"/>
                <w:sz w:val="24"/>
                <w:szCs w:val="24"/>
              </w:rPr>
              <w:t xml:space="preserve">s no neizmantotās numerācijas. Vienlaicīgi jāņem vērā, ka pēdējos gados pieprasījums pēc balss telefonijas pakalpojumiem publiskā fiksētā telefonu tīklā pakāpeniski samazinās un daļa no numuriem tiks atbrīvota. Pēc Nodevas ieviešanas tiek prognozēts, ka </w:t>
            </w:r>
            <w:r w:rsidRPr="00BA7598">
              <w:rPr>
                <w:rFonts w:ascii="Times New Roman" w:hAnsi="Times New Roman"/>
                <w:sz w:val="24"/>
                <w:szCs w:val="24"/>
              </w:rPr>
              <w:lastRenderedPageBreak/>
              <w:t>elektronisko skaru komersanti pakāpeniski atteiksies no publiskā fiksētā telefonu tīkla numuriem no 2 743 200 numuriem 2020.gadā līdz 1 000 000 numuriem 2023.gadā.</w:t>
            </w:r>
          </w:p>
          <w:p w14:paraId="3847A9DC" w14:textId="77777777" w:rsidR="00F60899" w:rsidRPr="00AF5D54" w:rsidRDefault="00F60899" w:rsidP="00AF5D54">
            <w:pPr>
              <w:spacing w:after="0" w:line="240" w:lineRule="auto"/>
              <w:jc w:val="both"/>
              <w:rPr>
                <w:rFonts w:ascii="Times New Roman" w:hAnsi="Times New Roman"/>
                <w:sz w:val="24"/>
                <w:szCs w:val="24"/>
                <w:u w:val="single"/>
              </w:rPr>
            </w:pPr>
            <w:r w:rsidRPr="00AF5D54">
              <w:rPr>
                <w:rFonts w:ascii="Times New Roman" w:hAnsi="Times New Roman"/>
                <w:sz w:val="24"/>
                <w:szCs w:val="24"/>
                <w:u w:val="single"/>
              </w:rPr>
              <w:t xml:space="preserve">Publiskā mobilā telefonu tīkla numuri. </w:t>
            </w:r>
          </w:p>
          <w:p w14:paraId="304C2694" w14:textId="77777777" w:rsidR="00F60899" w:rsidRDefault="00F60899" w:rsidP="00AF5D54">
            <w:pPr>
              <w:spacing w:after="0" w:line="240" w:lineRule="auto"/>
              <w:jc w:val="both"/>
              <w:rPr>
                <w:rFonts w:ascii="Times New Roman" w:hAnsi="Times New Roman"/>
                <w:sz w:val="24"/>
                <w:szCs w:val="24"/>
              </w:rPr>
            </w:pPr>
            <w:r>
              <w:rPr>
                <w:rFonts w:ascii="Times New Roman" w:hAnsi="Times New Roman"/>
                <w:sz w:val="24"/>
                <w:szCs w:val="24"/>
              </w:rPr>
              <w:t xml:space="preserve">Mobilā telefonu tīkla operatoriem ir piešķirti vairāk nekā 77% no visiem publiskā mobilā telefona tīkla numuriem. Šī tendence turpina palielināties. Līdz ar to nākotnē var rasties nepieciešamība atvērt jaunu publiskā mobilā telefona tīkla numuru indeksu Nacionālajā numerācijas plānā. Šobrīd publiskā mobilā telefonu tīkla numurus izmanto ne tikai balss telefonijas pakalpojumu nodrošināšanai, bet arī </w:t>
            </w:r>
            <w:proofErr w:type="spellStart"/>
            <w:r>
              <w:rPr>
                <w:rFonts w:ascii="Times New Roman" w:hAnsi="Times New Roman"/>
                <w:sz w:val="24"/>
                <w:szCs w:val="24"/>
              </w:rPr>
              <w:t>IoT</w:t>
            </w:r>
            <w:proofErr w:type="spellEnd"/>
            <w:r>
              <w:rPr>
                <w:rFonts w:ascii="Times New Roman" w:hAnsi="Times New Roman"/>
                <w:sz w:val="24"/>
                <w:szCs w:val="24"/>
              </w:rPr>
              <w:t xml:space="preserve">/M2M pakalpojumiem. Ņemot vērā straujo </w:t>
            </w:r>
            <w:proofErr w:type="spellStart"/>
            <w:r>
              <w:rPr>
                <w:rFonts w:ascii="Times New Roman" w:hAnsi="Times New Roman"/>
                <w:sz w:val="24"/>
                <w:szCs w:val="24"/>
              </w:rPr>
              <w:t>IoT</w:t>
            </w:r>
            <w:proofErr w:type="spellEnd"/>
            <w:r>
              <w:rPr>
                <w:rFonts w:ascii="Times New Roman" w:hAnsi="Times New Roman"/>
                <w:sz w:val="24"/>
                <w:szCs w:val="24"/>
              </w:rPr>
              <w:t>/M2M pakalpojumu attīstību un to, ka Nacionālajā numerācijas plānā ir atvērts jaun</w:t>
            </w:r>
            <w:r w:rsidR="00D3327E">
              <w:rPr>
                <w:rFonts w:ascii="Times New Roman" w:hAnsi="Times New Roman"/>
                <w:sz w:val="24"/>
                <w:szCs w:val="24"/>
              </w:rPr>
              <w:t>s</w:t>
            </w:r>
            <w:r>
              <w:rPr>
                <w:rFonts w:ascii="Times New Roman" w:hAnsi="Times New Roman"/>
                <w:sz w:val="24"/>
                <w:szCs w:val="24"/>
              </w:rPr>
              <w:t xml:space="preserve"> diapazons </w:t>
            </w:r>
            <w:proofErr w:type="spellStart"/>
            <w:r>
              <w:rPr>
                <w:rFonts w:ascii="Times New Roman" w:hAnsi="Times New Roman"/>
                <w:sz w:val="24"/>
                <w:szCs w:val="24"/>
              </w:rPr>
              <w:t>IoT</w:t>
            </w:r>
            <w:proofErr w:type="spellEnd"/>
            <w:r>
              <w:rPr>
                <w:rFonts w:ascii="Times New Roman" w:hAnsi="Times New Roman"/>
                <w:sz w:val="24"/>
                <w:szCs w:val="24"/>
              </w:rPr>
              <w:t>/M2M pakalpojumiem</w:t>
            </w:r>
            <w:r w:rsidR="00D3327E">
              <w:rPr>
                <w:rFonts w:ascii="Times New Roman" w:hAnsi="Times New Roman"/>
                <w:sz w:val="24"/>
                <w:szCs w:val="24"/>
              </w:rPr>
              <w:t>,</w:t>
            </w:r>
            <w:r>
              <w:rPr>
                <w:rFonts w:ascii="Times New Roman" w:hAnsi="Times New Roman"/>
                <w:sz w:val="24"/>
                <w:szCs w:val="24"/>
              </w:rPr>
              <w:t xml:space="preserve"> Nodeva par </w:t>
            </w:r>
            <w:proofErr w:type="spellStart"/>
            <w:r>
              <w:rPr>
                <w:rFonts w:ascii="Times New Roman" w:hAnsi="Times New Roman"/>
                <w:sz w:val="24"/>
                <w:szCs w:val="24"/>
              </w:rPr>
              <w:t>IoT</w:t>
            </w:r>
            <w:proofErr w:type="spellEnd"/>
            <w:r>
              <w:rPr>
                <w:rFonts w:ascii="Times New Roman" w:hAnsi="Times New Roman"/>
                <w:sz w:val="24"/>
                <w:szCs w:val="24"/>
              </w:rPr>
              <w:t>/M2M numuriem ir paredzēta no 2 līdz 4 reizēm zemāka nekā par mobilā telefonu tīkla numuriem</w:t>
            </w:r>
            <w:r w:rsidR="00D3327E">
              <w:rPr>
                <w:rFonts w:ascii="Times New Roman" w:hAnsi="Times New Roman"/>
                <w:sz w:val="24"/>
                <w:szCs w:val="24"/>
              </w:rPr>
              <w:t>. Līdz ar to</w:t>
            </w:r>
            <w:r>
              <w:rPr>
                <w:rFonts w:ascii="Times New Roman" w:hAnsi="Times New Roman"/>
                <w:sz w:val="24"/>
                <w:szCs w:val="24"/>
              </w:rPr>
              <w:t xml:space="preserve"> mobilo telefonu tīklu operatoriem būs stimuls pārtraukt publiskā mobilā telefonu tīkla numuru izmantošanu </w:t>
            </w:r>
            <w:proofErr w:type="spellStart"/>
            <w:r>
              <w:rPr>
                <w:rFonts w:ascii="Times New Roman" w:hAnsi="Times New Roman"/>
                <w:sz w:val="24"/>
                <w:szCs w:val="24"/>
              </w:rPr>
              <w:t>IoT</w:t>
            </w:r>
            <w:proofErr w:type="spellEnd"/>
            <w:r>
              <w:rPr>
                <w:rFonts w:ascii="Times New Roman" w:hAnsi="Times New Roman"/>
                <w:sz w:val="24"/>
                <w:szCs w:val="24"/>
              </w:rPr>
              <w:t xml:space="preserve">/M2M pakalpojumiem. Neskatoties uz to, ka nav plānots uzlikt saistības operatoriem pārvietot esošos </w:t>
            </w:r>
            <w:proofErr w:type="spellStart"/>
            <w:r>
              <w:rPr>
                <w:rFonts w:ascii="Times New Roman" w:hAnsi="Times New Roman"/>
                <w:sz w:val="24"/>
                <w:szCs w:val="24"/>
              </w:rPr>
              <w:t>pieslēgumus</w:t>
            </w:r>
            <w:proofErr w:type="spellEnd"/>
            <w:r>
              <w:rPr>
                <w:rFonts w:ascii="Times New Roman" w:hAnsi="Times New Roman"/>
                <w:sz w:val="24"/>
                <w:szCs w:val="24"/>
              </w:rPr>
              <w:t xml:space="preserve"> no mobilā telefonu tīkla numuriem uz </w:t>
            </w:r>
            <w:proofErr w:type="spellStart"/>
            <w:r>
              <w:rPr>
                <w:rFonts w:ascii="Times New Roman" w:hAnsi="Times New Roman"/>
                <w:sz w:val="24"/>
                <w:szCs w:val="24"/>
              </w:rPr>
              <w:t>IoT</w:t>
            </w:r>
            <w:proofErr w:type="spellEnd"/>
            <w:r>
              <w:rPr>
                <w:rFonts w:ascii="Times New Roman" w:hAnsi="Times New Roman"/>
                <w:sz w:val="24"/>
                <w:szCs w:val="24"/>
              </w:rPr>
              <w:t xml:space="preserve">/M2M numuriem, ir prognozēts, ka Nodevas starpības dēļ daļa no publiskā mobilā telefonu tīkla numuriem, kas tiek izmantoti </w:t>
            </w:r>
            <w:proofErr w:type="spellStart"/>
            <w:r>
              <w:rPr>
                <w:rFonts w:ascii="Times New Roman" w:hAnsi="Times New Roman"/>
                <w:sz w:val="24"/>
                <w:szCs w:val="24"/>
              </w:rPr>
              <w:t>IoT</w:t>
            </w:r>
            <w:proofErr w:type="spellEnd"/>
            <w:r>
              <w:rPr>
                <w:rFonts w:ascii="Times New Roman" w:hAnsi="Times New Roman"/>
                <w:sz w:val="24"/>
                <w:szCs w:val="24"/>
              </w:rPr>
              <w:t xml:space="preserve">/M2M pakalpojumiem, tiks pārvietoti brīvprātīgi uz </w:t>
            </w:r>
            <w:proofErr w:type="spellStart"/>
            <w:r>
              <w:rPr>
                <w:rFonts w:ascii="Times New Roman" w:hAnsi="Times New Roman"/>
                <w:sz w:val="24"/>
                <w:szCs w:val="24"/>
              </w:rPr>
              <w:t>IoT</w:t>
            </w:r>
            <w:proofErr w:type="spellEnd"/>
            <w:r>
              <w:rPr>
                <w:rFonts w:ascii="Times New Roman" w:hAnsi="Times New Roman"/>
                <w:sz w:val="24"/>
                <w:szCs w:val="24"/>
              </w:rPr>
              <w:t>/M2M numuriem. Līdz ar to nebūs nepieciešamība tuvākajā laikā atvērt jaunu publiskā mobilā telefona tīkla numuru indeksu</w:t>
            </w:r>
            <w:r w:rsidRPr="00AB2E79">
              <w:rPr>
                <w:rFonts w:ascii="Times New Roman" w:hAnsi="Times New Roman"/>
                <w:sz w:val="24"/>
                <w:szCs w:val="24"/>
              </w:rPr>
              <w:t xml:space="preserve"> </w:t>
            </w:r>
            <w:r>
              <w:rPr>
                <w:rFonts w:ascii="Times New Roman" w:hAnsi="Times New Roman"/>
                <w:sz w:val="24"/>
                <w:szCs w:val="24"/>
              </w:rPr>
              <w:t xml:space="preserve">Nacionālajā numerācijas plānā. Nodevu par publiskā mobilā telefona tīkla numuriem ir plānots ieviest no 2022.gada. </w:t>
            </w:r>
            <w:r w:rsidRPr="00776A06">
              <w:rPr>
                <w:rFonts w:ascii="Times New Roman" w:hAnsi="Times New Roman"/>
                <w:sz w:val="24"/>
                <w:szCs w:val="24"/>
              </w:rPr>
              <w:t xml:space="preserve">Pēc </w:t>
            </w:r>
            <w:r>
              <w:rPr>
                <w:rFonts w:ascii="Times New Roman" w:hAnsi="Times New Roman"/>
                <w:sz w:val="24"/>
                <w:szCs w:val="24"/>
              </w:rPr>
              <w:t>Nodevas</w:t>
            </w:r>
            <w:r w:rsidRPr="00776A06">
              <w:rPr>
                <w:rFonts w:ascii="Times New Roman" w:hAnsi="Times New Roman"/>
                <w:sz w:val="24"/>
                <w:szCs w:val="24"/>
              </w:rPr>
              <w:t xml:space="preserve"> ieviešan</w:t>
            </w:r>
            <w:r>
              <w:rPr>
                <w:rFonts w:ascii="Times New Roman" w:hAnsi="Times New Roman"/>
                <w:sz w:val="24"/>
                <w:szCs w:val="24"/>
              </w:rPr>
              <w:t>a</w:t>
            </w:r>
            <w:r w:rsidRPr="00776A06">
              <w:rPr>
                <w:rFonts w:ascii="Times New Roman" w:hAnsi="Times New Roman"/>
                <w:sz w:val="24"/>
                <w:szCs w:val="24"/>
              </w:rPr>
              <w:t xml:space="preserve">s </w:t>
            </w:r>
            <w:r>
              <w:rPr>
                <w:rFonts w:ascii="Times New Roman" w:hAnsi="Times New Roman"/>
                <w:sz w:val="24"/>
                <w:szCs w:val="24"/>
              </w:rPr>
              <w:t>tiek prognozēts, ka elektronisko skaru komersanti pakāpeniski atteiksies no publiskā mobilā telefona tīkla numuriem no 7 774 000 numuriem 2020.gadā līdz 7 000 000 numuriem 2023.gadā.</w:t>
            </w:r>
          </w:p>
          <w:p w14:paraId="7470C471" w14:textId="77777777" w:rsidR="00F60899" w:rsidRPr="00AF5D54" w:rsidRDefault="00F60899" w:rsidP="00AF5D54">
            <w:pPr>
              <w:spacing w:after="0" w:line="240" w:lineRule="auto"/>
              <w:jc w:val="both"/>
              <w:rPr>
                <w:rFonts w:ascii="Times New Roman" w:hAnsi="Times New Roman"/>
                <w:sz w:val="24"/>
                <w:szCs w:val="24"/>
                <w:u w:val="single"/>
              </w:rPr>
            </w:pPr>
            <w:proofErr w:type="spellStart"/>
            <w:r w:rsidRPr="00AF5D54">
              <w:rPr>
                <w:rFonts w:ascii="Times New Roman" w:hAnsi="Times New Roman"/>
                <w:sz w:val="24"/>
                <w:szCs w:val="24"/>
                <w:u w:val="single"/>
              </w:rPr>
              <w:t>Starpierīču</w:t>
            </w:r>
            <w:proofErr w:type="spellEnd"/>
            <w:r w:rsidRPr="00AF5D54">
              <w:rPr>
                <w:rFonts w:ascii="Times New Roman" w:hAnsi="Times New Roman"/>
                <w:sz w:val="24"/>
                <w:szCs w:val="24"/>
                <w:u w:val="single"/>
              </w:rPr>
              <w:t xml:space="preserve"> saziņas numuri mašīna-mašīna sakariem (</w:t>
            </w:r>
            <w:proofErr w:type="spellStart"/>
            <w:r w:rsidRPr="00AF5D54">
              <w:rPr>
                <w:rFonts w:ascii="Times New Roman" w:hAnsi="Times New Roman"/>
                <w:sz w:val="24"/>
                <w:szCs w:val="24"/>
                <w:u w:val="single"/>
              </w:rPr>
              <w:t>IoT</w:t>
            </w:r>
            <w:proofErr w:type="spellEnd"/>
            <w:r w:rsidRPr="00AF5D54">
              <w:rPr>
                <w:rFonts w:ascii="Times New Roman" w:hAnsi="Times New Roman"/>
                <w:sz w:val="24"/>
                <w:szCs w:val="24"/>
                <w:u w:val="single"/>
              </w:rPr>
              <w:t xml:space="preserve">/M2M numuri) 8 cipari un 12 cipari. </w:t>
            </w:r>
          </w:p>
          <w:p w14:paraId="252D2A99" w14:textId="77777777" w:rsidR="00F60899" w:rsidRPr="001D7C22" w:rsidRDefault="00F60899" w:rsidP="00AF5D54">
            <w:pPr>
              <w:spacing w:after="0" w:line="240" w:lineRule="auto"/>
              <w:jc w:val="both"/>
              <w:rPr>
                <w:rFonts w:ascii="Times New Roman" w:hAnsi="Times New Roman"/>
                <w:sz w:val="24"/>
                <w:szCs w:val="24"/>
              </w:rPr>
            </w:pPr>
            <w:r>
              <w:rPr>
                <w:rFonts w:ascii="Times New Roman" w:hAnsi="Times New Roman"/>
                <w:sz w:val="24"/>
                <w:szCs w:val="24"/>
              </w:rPr>
              <w:t xml:space="preserve">Tas ir jauns numerācijas veids, kas strauji attīstās visā pasaulē. Jāņem vērā, ka saskaņā ar Direktīvas prasībām 12 ciparu numuri ir paredzēti lietošanai ne tikai Latvijas Republikā, bet arī eksteritoriālai lietošanai ārpus Latvijas Republikas, proti, Eiropas Ekonomiskas zonas dalībvalstīs. Tiek prognozēts, ka </w:t>
            </w:r>
            <w:proofErr w:type="spellStart"/>
            <w:r w:rsidRPr="00AF5D54">
              <w:rPr>
                <w:rFonts w:ascii="Times New Roman" w:hAnsi="Times New Roman"/>
                <w:sz w:val="24"/>
                <w:szCs w:val="24"/>
              </w:rPr>
              <w:t>IoT</w:t>
            </w:r>
            <w:proofErr w:type="spellEnd"/>
            <w:r w:rsidRPr="00AF5D54">
              <w:rPr>
                <w:rFonts w:ascii="Times New Roman" w:hAnsi="Times New Roman"/>
                <w:sz w:val="24"/>
                <w:szCs w:val="24"/>
              </w:rPr>
              <w:t xml:space="preserve">/M2M </w:t>
            </w:r>
            <w:r>
              <w:rPr>
                <w:rFonts w:ascii="Times New Roman" w:hAnsi="Times New Roman"/>
                <w:sz w:val="24"/>
                <w:szCs w:val="24"/>
              </w:rPr>
              <w:t>numuru lietošanas tiesību apjoms palielināsies līdz 20 000 numuriem (8 cipari) 2023.gadā un līdz 300 000 numuriem (12 cipari) 2023.gadā.</w:t>
            </w:r>
          </w:p>
        </w:tc>
      </w:tr>
    </w:tbl>
    <w:p w14:paraId="22C2A111" w14:textId="77777777" w:rsidR="001D7C22" w:rsidRDefault="001D7C22" w:rsidP="003465C6">
      <w:pPr>
        <w:shd w:val="clear" w:color="auto" w:fill="FFFFFF"/>
        <w:spacing w:after="0" w:line="240" w:lineRule="auto"/>
        <w:rPr>
          <w:rFonts w:ascii="Times New Roman" w:hAnsi="Times New Roman"/>
          <w:sz w:val="24"/>
          <w:szCs w:val="24"/>
        </w:rPr>
      </w:pPr>
    </w:p>
    <w:p w14:paraId="1FA9D1A2" w14:textId="77777777" w:rsidR="005F3B40" w:rsidRPr="009B03E3" w:rsidRDefault="005F3B40" w:rsidP="003465C6">
      <w:pPr>
        <w:shd w:val="clear" w:color="auto" w:fill="FFFFFF"/>
        <w:spacing w:after="0" w:line="240" w:lineRule="auto"/>
        <w:rPr>
          <w:rFonts w:ascii="Times New Roman" w:hAnsi="Times New Roman"/>
          <w:sz w:val="24"/>
          <w:szCs w:val="24"/>
        </w:rPr>
      </w:pPr>
      <w:r w:rsidRPr="009B03E3">
        <w:rPr>
          <w:rFonts w:ascii="Times New Roman" w:hAnsi="Times New Roman"/>
          <w:sz w:val="24"/>
          <w:szCs w:val="24"/>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0450"/>
      </w:tblGrid>
      <w:tr w:rsidR="009B03E3" w:rsidRPr="009B03E3" w14:paraId="22FDC862" w14:textId="77777777" w:rsidTr="005F3B40">
        <w:trPr>
          <w:trHeight w:val="450"/>
        </w:trPr>
        <w:tc>
          <w:tcPr>
            <w:tcW w:w="0" w:type="auto"/>
            <w:tcBorders>
              <w:top w:val="outset" w:sz="6" w:space="0" w:color="414142"/>
              <w:left w:val="outset" w:sz="6" w:space="0" w:color="414142"/>
              <w:bottom w:val="outset" w:sz="6" w:space="0" w:color="414142"/>
              <w:right w:val="outset" w:sz="6" w:space="0" w:color="414142"/>
            </w:tcBorders>
            <w:vAlign w:val="center"/>
            <w:hideMark/>
          </w:tcPr>
          <w:p w14:paraId="50DC0021" w14:textId="77777777" w:rsidR="005F3B40" w:rsidRPr="009B03E3" w:rsidRDefault="005F3B40" w:rsidP="003465C6">
            <w:pPr>
              <w:spacing w:after="0" w:line="240" w:lineRule="auto"/>
              <w:ind w:firstLine="300"/>
              <w:jc w:val="center"/>
              <w:rPr>
                <w:rFonts w:ascii="Times New Roman" w:eastAsia="Times New Roman" w:hAnsi="Times New Roman"/>
                <w:b/>
                <w:bCs/>
                <w:sz w:val="24"/>
                <w:szCs w:val="24"/>
                <w:lang w:eastAsia="lv-LV"/>
              </w:rPr>
            </w:pPr>
            <w:r w:rsidRPr="009B03E3">
              <w:rPr>
                <w:rFonts w:ascii="Times New Roman" w:eastAsia="Times New Roman" w:hAnsi="Times New Roman"/>
                <w:b/>
                <w:bCs/>
                <w:sz w:val="24"/>
                <w:szCs w:val="24"/>
                <w:lang w:eastAsia="lv-LV"/>
              </w:rPr>
              <w:t>IV. Tiesību akta projekta ietekme uz spēkā esošo tiesību normu sistēmu</w:t>
            </w:r>
          </w:p>
        </w:tc>
      </w:tr>
      <w:tr w:rsidR="005F3B40" w:rsidRPr="009B03E3" w14:paraId="151A135C" w14:textId="77777777" w:rsidTr="005F3B40">
        <w:tc>
          <w:tcPr>
            <w:tcW w:w="5000" w:type="pct"/>
            <w:tcBorders>
              <w:top w:val="outset" w:sz="6" w:space="0" w:color="414142"/>
              <w:left w:val="outset" w:sz="6" w:space="0" w:color="414142"/>
              <w:bottom w:val="outset" w:sz="6" w:space="0" w:color="414142"/>
              <w:right w:val="outset" w:sz="6" w:space="0" w:color="414142"/>
            </w:tcBorders>
            <w:hideMark/>
          </w:tcPr>
          <w:p w14:paraId="7CFD1BA2" w14:textId="77777777" w:rsidR="005F3B40" w:rsidRPr="009B03E3" w:rsidRDefault="005F3B40" w:rsidP="003465C6">
            <w:pPr>
              <w:tabs>
                <w:tab w:val="left" w:pos="1245"/>
              </w:tabs>
              <w:spacing w:after="0" w:line="240" w:lineRule="auto"/>
              <w:jc w:val="center"/>
              <w:rPr>
                <w:rFonts w:ascii="Times New Roman" w:eastAsia="Times New Roman" w:hAnsi="Times New Roman"/>
                <w:sz w:val="24"/>
                <w:szCs w:val="24"/>
                <w:lang w:eastAsia="lv-LV"/>
              </w:rPr>
            </w:pPr>
            <w:r w:rsidRPr="009B03E3">
              <w:rPr>
                <w:rFonts w:ascii="Times New Roman" w:eastAsia="Times New Roman" w:hAnsi="Times New Roman"/>
                <w:sz w:val="24"/>
                <w:szCs w:val="24"/>
                <w:lang w:eastAsia="lv-LV"/>
              </w:rPr>
              <w:t>Projekts šo jomu neskar.</w:t>
            </w:r>
          </w:p>
        </w:tc>
      </w:tr>
    </w:tbl>
    <w:p w14:paraId="24656D7E" w14:textId="77777777" w:rsidR="005F3B40" w:rsidRPr="009B03E3" w:rsidRDefault="005F3B40" w:rsidP="003465C6">
      <w:pPr>
        <w:shd w:val="clear" w:color="auto" w:fill="FFFFFF"/>
        <w:spacing w:after="0" w:line="240" w:lineRule="auto"/>
        <w:rPr>
          <w:rFonts w:ascii="Times New Roman" w:hAnsi="Times New Roman"/>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0450"/>
      </w:tblGrid>
      <w:tr w:rsidR="009B03E3" w:rsidRPr="009B03E3" w14:paraId="6DFFBC76" w14:textId="77777777" w:rsidTr="005F3B40">
        <w:tc>
          <w:tcPr>
            <w:tcW w:w="0" w:type="auto"/>
            <w:tcBorders>
              <w:top w:val="outset" w:sz="6" w:space="0" w:color="414142"/>
              <w:left w:val="outset" w:sz="6" w:space="0" w:color="414142"/>
              <w:bottom w:val="outset" w:sz="6" w:space="0" w:color="414142"/>
              <w:right w:val="outset" w:sz="6" w:space="0" w:color="414142"/>
            </w:tcBorders>
            <w:vAlign w:val="center"/>
            <w:hideMark/>
          </w:tcPr>
          <w:p w14:paraId="62262FAC" w14:textId="77777777" w:rsidR="005F3B40" w:rsidRPr="009B03E3" w:rsidRDefault="005F3B40" w:rsidP="003465C6">
            <w:pPr>
              <w:pStyle w:val="tvhtml"/>
              <w:spacing w:before="0" w:beforeAutospacing="0" w:after="0" w:afterAutospacing="0"/>
              <w:jc w:val="center"/>
              <w:rPr>
                <w:b/>
                <w:bCs/>
                <w:lang w:eastAsia="en-US"/>
              </w:rPr>
            </w:pPr>
            <w:r w:rsidRPr="009B03E3">
              <w:rPr>
                <w:b/>
                <w:bCs/>
                <w:lang w:eastAsia="en-US"/>
              </w:rPr>
              <w:t>V. Tiesību akta projekta atbilstība Latvijas Republikas starptautiskajām saistībām</w:t>
            </w:r>
          </w:p>
        </w:tc>
      </w:tr>
      <w:tr w:rsidR="009B03E3" w:rsidRPr="009B03E3" w14:paraId="727816B3" w14:textId="77777777" w:rsidTr="005F3B40">
        <w:trPr>
          <w:trHeight w:val="350"/>
        </w:trPr>
        <w:tc>
          <w:tcPr>
            <w:tcW w:w="5000" w:type="pct"/>
            <w:tcBorders>
              <w:top w:val="outset" w:sz="6" w:space="0" w:color="414142"/>
              <w:left w:val="outset" w:sz="6" w:space="0" w:color="414142"/>
              <w:bottom w:val="outset" w:sz="6" w:space="0" w:color="414142"/>
              <w:right w:val="outset" w:sz="6" w:space="0" w:color="414142"/>
            </w:tcBorders>
            <w:hideMark/>
          </w:tcPr>
          <w:p w14:paraId="06EDF90D" w14:textId="77777777" w:rsidR="005F3B40" w:rsidRPr="009B03E3" w:rsidRDefault="005F3B40" w:rsidP="003465C6">
            <w:pPr>
              <w:spacing w:after="0" w:line="240" w:lineRule="auto"/>
              <w:jc w:val="center"/>
              <w:rPr>
                <w:rFonts w:ascii="Times New Roman" w:hAnsi="Times New Roman"/>
                <w:sz w:val="24"/>
                <w:szCs w:val="24"/>
              </w:rPr>
            </w:pPr>
            <w:r w:rsidRPr="009B03E3">
              <w:rPr>
                <w:rFonts w:ascii="Times New Roman" w:eastAsia="Times New Roman" w:hAnsi="Times New Roman"/>
                <w:bCs/>
                <w:sz w:val="24"/>
                <w:szCs w:val="24"/>
                <w:lang w:eastAsia="lv-LV"/>
              </w:rPr>
              <w:t>Projekts šo jomu neskar.</w:t>
            </w:r>
          </w:p>
        </w:tc>
      </w:tr>
    </w:tbl>
    <w:p w14:paraId="040BCCF6" w14:textId="77777777" w:rsidR="005F3B40" w:rsidRPr="009B03E3" w:rsidRDefault="005F3B40" w:rsidP="003465C6">
      <w:pPr>
        <w:shd w:val="clear" w:color="auto" w:fill="FFFFFF"/>
        <w:spacing w:after="0" w:line="240" w:lineRule="auto"/>
        <w:rPr>
          <w:rFonts w:ascii="Times New Roman" w:hAnsi="Times New Roman"/>
          <w:sz w:val="24"/>
          <w:szCs w:val="24"/>
        </w:rPr>
      </w:pPr>
      <w:r w:rsidRPr="009B03E3">
        <w:rPr>
          <w:rFonts w:ascii="Times New Roman" w:hAnsi="Times New Roman"/>
          <w:sz w:val="24"/>
          <w:szCs w:val="24"/>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627"/>
        <w:gridCol w:w="3553"/>
        <w:gridCol w:w="6270"/>
      </w:tblGrid>
      <w:tr w:rsidR="009B03E3" w:rsidRPr="009B03E3" w14:paraId="70F18F2B" w14:textId="77777777" w:rsidTr="005F3B40">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53C2BDA0" w14:textId="77777777" w:rsidR="005F3B40" w:rsidRPr="009B03E3" w:rsidRDefault="005F3B40" w:rsidP="003465C6">
            <w:pPr>
              <w:pStyle w:val="tvhtml"/>
              <w:spacing w:before="0" w:beforeAutospacing="0" w:after="0" w:afterAutospacing="0"/>
              <w:jc w:val="center"/>
              <w:rPr>
                <w:b/>
                <w:bCs/>
                <w:lang w:eastAsia="en-US"/>
              </w:rPr>
            </w:pPr>
            <w:r w:rsidRPr="009B03E3">
              <w:rPr>
                <w:b/>
                <w:bCs/>
                <w:lang w:eastAsia="en-US"/>
              </w:rPr>
              <w:t>VI. Sabiedrības līdzdalība un komunikācijas aktivitātes</w:t>
            </w:r>
          </w:p>
        </w:tc>
      </w:tr>
      <w:tr w:rsidR="009B03E3" w:rsidRPr="009B03E3" w14:paraId="7A186DC6" w14:textId="77777777" w:rsidTr="005F3B40">
        <w:tc>
          <w:tcPr>
            <w:tcW w:w="300" w:type="pct"/>
            <w:tcBorders>
              <w:top w:val="outset" w:sz="6" w:space="0" w:color="414142"/>
              <w:left w:val="outset" w:sz="6" w:space="0" w:color="414142"/>
              <w:bottom w:val="outset" w:sz="6" w:space="0" w:color="414142"/>
              <w:right w:val="outset" w:sz="6" w:space="0" w:color="414142"/>
            </w:tcBorders>
            <w:hideMark/>
          </w:tcPr>
          <w:p w14:paraId="7E0E61F9" w14:textId="77777777" w:rsidR="005F3B40" w:rsidRPr="009B03E3" w:rsidRDefault="005F3B40" w:rsidP="003465C6">
            <w:pPr>
              <w:pStyle w:val="tvhtml"/>
              <w:spacing w:before="0" w:beforeAutospacing="0" w:after="0" w:afterAutospacing="0"/>
              <w:jc w:val="center"/>
              <w:rPr>
                <w:lang w:eastAsia="en-US"/>
              </w:rPr>
            </w:pPr>
            <w:r w:rsidRPr="009B03E3">
              <w:rPr>
                <w:lang w:eastAsia="en-US"/>
              </w:rPr>
              <w:t>1.</w:t>
            </w:r>
          </w:p>
        </w:tc>
        <w:tc>
          <w:tcPr>
            <w:tcW w:w="1700" w:type="pct"/>
            <w:tcBorders>
              <w:top w:val="outset" w:sz="6" w:space="0" w:color="414142"/>
              <w:left w:val="outset" w:sz="6" w:space="0" w:color="414142"/>
              <w:bottom w:val="outset" w:sz="6" w:space="0" w:color="414142"/>
              <w:right w:val="outset" w:sz="6" w:space="0" w:color="414142"/>
            </w:tcBorders>
            <w:hideMark/>
          </w:tcPr>
          <w:p w14:paraId="08D18951" w14:textId="77777777" w:rsidR="005F3B40" w:rsidRPr="009B03E3" w:rsidRDefault="005F3B40" w:rsidP="003465C6">
            <w:pPr>
              <w:spacing w:after="0" w:line="240" w:lineRule="auto"/>
              <w:rPr>
                <w:rFonts w:ascii="Times New Roman" w:hAnsi="Times New Roman"/>
                <w:sz w:val="24"/>
                <w:szCs w:val="24"/>
                <w:highlight w:val="yellow"/>
              </w:rPr>
            </w:pPr>
            <w:r w:rsidRPr="009B03E3">
              <w:rPr>
                <w:rFonts w:ascii="Times New Roman" w:hAnsi="Times New Roman"/>
                <w:sz w:val="24"/>
                <w:szCs w:val="24"/>
              </w:rPr>
              <w:t>Plānotās sabiedrības līdzdalības un komunikācijas aktivitātes saistībā ar projektu</w:t>
            </w:r>
          </w:p>
        </w:tc>
        <w:tc>
          <w:tcPr>
            <w:tcW w:w="3000" w:type="pct"/>
            <w:tcBorders>
              <w:top w:val="outset" w:sz="6" w:space="0" w:color="414142"/>
              <w:left w:val="outset" w:sz="6" w:space="0" w:color="414142"/>
              <w:bottom w:val="outset" w:sz="6" w:space="0" w:color="414142"/>
              <w:right w:val="outset" w:sz="6" w:space="0" w:color="414142"/>
            </w:tcBorders>
            <w:hideMark/>
          </w:tcPr>
          <w:p w14:paraId="698DA5A4" w14:textId="77777777" w:rsidR="005F3B40" w:rsidRPr="009B03E3" w:rsidRDefault="005F3B40" w:rsidP="0097370E">
            <w:pPr>
              <w:spacing w:after="0" w:line="240" w:lineRule="auto"/>
              <w:jc w:val="both"/>
              <w:rPr>
                <w:rFonts w:ascii="Times New Roman" w:hAnsi="Times New Roman"/>
                <w:sz w:val="24"/>
                <w:szCs w:val="24"/>
                <w:highlight w:val="yellow"/>
              </w:rPr>
            </w:pPr>
          </w:p>
        </w:tc>
      </w:tr>
      <w:tr w:rsidR="009B03E3" w:rsidRPr="009B03E3" w14:paraId="64295196" w14:textId="77777777" w:rsidTr="005F3B40">
        <w:tc>
          <w:tcPr>
            <w:tcW w:w="300" w:type="pct"/>
            <w:tcBorders>
              <w:top w:val="outset" w:sz="6" w:space="0" w:color="414142"/>
              <w:left w:val="outset" w:sz="6" w:space="0" w:color="414142"/>
              <w:bottom w:val="outset" w:sz="6" w:space="0" w:color="414142"/>
              <w:right w:val="outset" w:sz="6" w:space="0" w:color="414142"/>
            </w:tcBorders>
            <w:hideMark/>
          </w:tcPr>
          <w:p w14:paraId="16384609" w14:textId="77777777" w:rsidR="005F3B40" w:rsidRPr="009B03E3" w:rsidRDefault="005F3B40" w:rsidP="003465C6">
            <w:pPr>
              <w:pStyle w:val="tvhtml"/>
              <w:spacing w:before="0" w:beforeAutospacing="0" w:after="0" w:afterAutospacing="0"/>
              <w:jc w:val="center"/>
              <w:rPr>
                <w:lang w:eastAsia="en-US"/>
              </w:rPr>
            </w:pPr>
            <w:r w:rsidRPr="009B03E3">
              <w:rPr>
                <w:lang w:eastAsia="en-US"/>
              </w:rPr>
              <w:t>2.</w:t>
            </w:r>
          </w:p>
        </w:tc>
        <w:tc>
          <w:tcPr>
            <w:tcW w:w="1700" w:type="pct"/>
            <w:tcBorders>
              <w:top w:val="outset" w:sz="6" w:space="0" w:color="414142"/>
              <w:left w:val="outset" w:sz="6" w:space="0" w:color="414142"/>
              <w:bottom w:val="outset" w:sz="6" w:space="0" w:color="414142"/>
              <w:right w:val="outset" w:sz="6" w:space="0" w:color="414142"/>
            </w:tcBorders>
            <w:hideMark/>
          </w:tcPr>
          <w:p w14:paraId="07E3798D" w14:textId="77777777" w:rsidR="005F3B40" w:rsidRPr="009B03E3" w:rsidRDefault="005F3B40" w:rsidP="003465C6">
            <w:pPr>
              <w:spacing w:after="0" w:line="240" w:lineRule="auto"/>
              <w:rPr>
                <w:rFonts w:ascii="Times New Roman" w:hAnsi="Times New Roman"/>
                <w:sz w:val="24"/>
                <w:szCs w:val="24"/>
                <w:highlight w:val="yellow"/>
              </w:rPr>
            </w:pPr>
            <w:r w:rsidRPr="009B03E3">
              <w:rPr>
                <w:rFonts w:ascii="Times New Roman" w:hAnsi="Times New Roman"/>
                <w:sz w:val="24"/>
                <w:szCs w:val="24"/>
              </w:rPr>
              <w:t>Sabiedrības līdzdalība projekta izstrādē</w:t>
            </w:r>
          </w:p>
        </w:tc>
        <w:tc>
          <w:tcPr>
            <w:tcW w:w="3000" w:type="pct"/>
            <w:tcBorders>
              <w:top w:val="outset" w:sz="6" w:space="0" w:color="414142"/>
              <w:left w:val="outset" w:sz="6" w:space="0" w:color="414142"/>
              <w:bottom w:val="outset" w:sz="6" w:space="0" w:color="414142"/>
              <w:right w:val="outset" w:sz="6" w:space="0" w:color="414142"/>
            </w:tcBorders>
            <w:hideMark/>
          </w:tcPr>
          <w:p w14:paraId="3CBAC521" w14:textId="1BAE015B" w:rsidR="00F01241" w:rsidRPr="009B03E3" w:rsidRDefault="00C4454C" w:rsidP="008E7DDE">
            <w:pPr>
              <w:spacing w:line="240" w:lineRule="auto"/>
              <w:jc w:val="both"/>
              <w:rPr>
                <w:rFonts w:ascii="Times New Roman" w:hAnsi="Times New Roman"/>
                <w:sz w:val="24"/>
                <w:szCs w:val="24"/>
                <w:highlight w:val="yellow"/>
              </w:rPr>
            </w:pPr>
            <w:r w:rsidRPr="009B03E3">
              <w:rPr>
                <w:rFonts w:ascii="Times New Roman" w:eastAsia="Times New Roman" w:hAnsi="Times New Roman"/>
                <w:bCs/>
                <w:sz w:val="24"/>
                <w:szCs w:val="24"/>
                <w:lang w:eastAsia="lv-LV"/>
              </w:rPr>
              <w:t xml:space="preserve">Satiksmes </w:t>
            </w:r>
            <w:r w:rsidR="00F01241" w:rsidRPr="009B03E3">
              <w:rPr>
                <w:rFonts w:ascii="Times New Roman" w:eastAsia="Times New Roman" w:hAnsi="Times New Roman"/>
                <w:bCs/>
                <w:sz w:val="24"/>
                <w:szCs w:val="24"/>
                <w:lang w:eastAsia="lv-LV"/>
              </w:rPr>
              <w:t xml:space="preserve">ministrija 2020. gada </w:t>
            </w:r>
            <w:r w:rsidR="00AF5D54">
              <w:rPr>
                <w:rFonts w:ascii="Times New Roman" w:eastAsia="Times New Roman" w:hAnsi="Times New Roman"/>
                <w:bCs/>
                <w:sz w:val="24"/>
                <w:szCs w:val="24"/>
                <w:lang w:eastAsia="lv-LV"/>
              </w:rPr>
              <w:t>31.jūlijā</w:t>
            </w:r>
            <w:r w:rsidRPr="009B03E3">
              <w:rPr>
                <w:rFonts w:ascii="Times New Roman" w:eastAsia="Times New Roman" w:hAnsi="Times New Roman"/>
                <w:bCs/>
                <w:sz w:val="24"/>
                <w:szCs w:val="24"/>
                <w:lang w:eastAsia="lv-LV"/>
              </w:rPr>
              <w:t xml:space="preserve"> Noteikumu </w:t>
            </w:r>
            <w:r w:rsidR="00F01241" w:rsidRPr="009B03E3">
              <w:rPr>
                <w:rFonts w:ascii="Times New Roman" w:eastAsia="Times New Roman" w:hAnsi="Times New Roman"/>
                <w:bCs/>
                <w:sz w:val="24"/>
                <w:szCs w:val="24"/>
                <w:lang w:eastAsia="lv-LV"/>
              </w:rPr>
              <w:t xml:space="preserve">projektu ievietoja savā </w:t>
            </w:r>
            <w:r w:rsidR="00F01241" w:rsidRPr="009B03E3">
              <w:rPr>
                <w:rFonts w:ascii="Times New Roman" w:hAnsi="Times New Roman"/>
                <w:sz w:val="24"/>
                <w:szCs w:val="24"/>
              </w:rPr>
              <w:t>tīmekļa vietnē</w:t>
            </w:r>
            <w:r w:rsidR="00F01241" w:rsidRPr="009B03E3">
              <w:rPr>
                <w:rFonts w:ascii="Times New Roman" w:eastAsia="Times New Roman" w:hAnsi="Times New Roman"/>
                <w:sz w:val="24"/>
                <w:szCs w:val="24"/>
                <w:lang w:eastAsia="lv-LV"/>
              </w:rPr>
              <w:t xml:space="preserve"> sadaļā </w:t>
            </w:r>
            <w:r w:rsidR="00033B2C">
              <w:rPr>
                <w:rFonts w:ascii="Times New Roman" w:eastAsia="Times New Roman" w:hAnsi="Times New Roman"/>
                <w:sz w:val="24"/>
                <w:szCs w:val="24"/>
                <w:lang w:eastAsia="lv-LV"/>
              </w:rPr>
              <w:t>“</w:t>
            </w:r>
            <w:r w:rsidR="00F01241" w:rsidRPr="009B03E3">
              <w:rPr>
                <w:rFonts w:ascii="Times New Roman" w:eastAsia="Times New Roman" w:hAnsi="Times New Roman"/>
                <w:sz w:val="24"/>
                <w:szCs w:val="24"/>
                <w:lang w:eastAsia="lv-LV"/>
              </w:rPr>
              <w:t>Sabiedrības līdzdalība</w:t>
            </w:r>
            <w:r w:rsidR="00033B2C">
              <w:rPr>
                <w:rFonts w:ascii="Times New Roman" w:eastAsia="Times New Roman" w:hAnsi="Times New Roman"/>
                <w:sz w:val="24"/>
                <w:szCs w:val="24"/>
                <w:lang w:eastAsia="lv-LV"/>
              </w:rPr>
              <w:t>”</w:t>
            </w:r>
            <w:r w:rsidR="00F01241" w:rsidRPr="009B03E3">
              <w:rPr>
                <w:rFonts w:ascii="Times New Roman" w:hAnsi="Times New Roman"/>
                <w:sz w:val="24"/>
                <w:szCs w:val="24"/>
              </w:rPr>
              <w:t xml:space="preserve"> (</w:t>
            </w:r>
            <w:r w:rsidR="00F01241" w:rsidRPr="0046614A">
              <w:rPr>
                <w:rFonts w:ascii="Times New Roman" w:hAnsi="Times New Roman"/>
                <w:sz w:val="24"/>
                <w:szCs w:val="24"/>
              </w:rPr>
              <w:t>pieejams:</w:t>
            </w:r>
            <w:r w:rsidR="0046614A">
              <w:rPr>
                <w:rFonts w:ascii="Times New Roman" w:hAnsi="Times New Roman"/>
                <w:sz w:val="24"/>
                <w:szCs w:val="24"/>
              </w:rPr>
              <w:t xml:space="preserve"> </w:t>
            </w:r>
            <w:r w:rsidR="0046614A" w:rsidRPr="0046614A">
              <w:rPr>
                <w:rFonts w:ascii="Times New Roman" w:hAnsi="Times New Roman"/>
                <w:sz w:val="24"/>
                <w:szCs w:val="24"/>
              </w:rPr>
              <w:t>https://www.sam.gov.lv/lv/izstrade-esosie-attistibas-planosanas-dokumenti-un-tiesibu-akti</w:t>
            </w:r>
            <w:r w:rsidR="0046614A">
              <w:rPr>
                <w:rFonts w:ascii="Times New Roman" w:hAnsi="Times New Roman"/>
                <w:sz w:val="24"/>
                <w:szCs w:val="24"/>
              </w:rPr>
              <w:t>)</w:t>
            </w:r>
            <w:r w:rsidR="00F01241" w:rsidRPr="009B03E3">
              <w:rPr>
                <w:rFonts w:ascii="Times New Roman" w:hAnsi="Times New Roman"/>
                <w:sz w:val="24"/>
                <w:szCs w:val="24"/>
              </w:rPr>
              <w:t xml:space="preserve"> </w:t>
            </w:r>
          </w:p>
        </w:tc>
      </w:tr>
      <w:tr w:rsidR="009B03E3" w:rsidRPr="009B03E3" w14:paraId="0CB4326E" w14:textId="77777777" w:rsidTr="005F3B40">
        <w:tc>
          <w:tcPr>
            <w:tcW w:w="300" w:type="pct"/>
            <w:tcBorders>
              <w:top w:val="outset" w:sz="6" w:space="0" w:color="414142"/>
              <w:left w:val="outset" w:sz="6" w:space="0" w:color="414142"/>
              <w:bottom w:val="outset" w:sz="6" w:space="0" w:color="414142"/>
              <w:right w:val="outset" w:sz="6" w:space="0" w:color="414142"/>
            </w:tcBorders>
            <w:hideMark/>
          </w:tcPr>
          <w:p w14:paraId="202BD617" w14:textId="77777777" w:rsidR="005F3B40" w:rsidRPr="009B03E3" w:rsidRDefault="005F3B40" w:rsidP="003465C6">
            <w:pPr>
              <w:pStyle w:val="tvhtml"/>
              <w:spacing w:before="0" w:beforeAutospacing="0" w:after="0" w:afterAutospacing="0"/>
              <w:jc w:val="center"/>
              <w:rPr>
                <w:lang w:eastAsia="en-US"/>
              </w:rPr>
            </w:pPr>
            <w:r w:rsidRPr="009B03E3">
              <w:rPr>
                <w:lang w:eastAsia="en-US"/>
              </w:rPr>
              <w:t>3.</w:t>
            </w:r>
          </w:p>
        </w:tc>
        <w:tc>
          <w:tcPr>
            <w:tcW w:w="1700" w:type="pct"/>
            <w:tcBorders>
              <w:top w:val="outset" w:sz="6" w:space="0" w:color="414142"/>
              <w:left w:val="outset" w:sz="6" w:space="0" w:color="414142"/>
              <w:bottom w:val="outset" w:sz="6" w:space="0" w:color="414142"/>
              <w:right w:val="outset" w:sz="6" w:space="0" w:color="414142"/>
            </w:tcBorders>
            <w:hideMark/>
          </w:tcPr>
          <w:p w14:paraId="4CC0E7BA" w14:textId="77777777" w:rsidR="005F3B40" w:rsidRPr="009B03E3" w:rsidRDefault="005F3B40" w:rsidP="003465C6">
            <w:pPr>
              <w:spacing w:after="0" w:line="240" w:lineRule="auto"/>
              <w:rPr>
                <w:rFonts w:ascii="Times New Roman" w:hAnsi="Times New Roman"/>
                <w:sz w:val="24"/>
                <w:szCs w:val="24"/>
                <w:highlight w:val="yellow"/>
              </w:rPr>
            </w:pPr>
            <w:r w:rsidRPr="009B03E3">
              <w:rPr>
                <w:rFonts w:ascii="Times New Roman" w:hAnsi="Times New Roman"/>
                <w:sz w:val="24"/>
                <w:szCs w:val="24"/>
              </w:rPr>
              <w:t>Sabiedrības līdzdalības rezultāti</w:t>
            </w:r>
          </w:p>
        </w:tc>
        <w:tc>
          <w:tcPr>
            <w:tcW w:w="3000" w:type="pct"/>
            <w:tcBorders>
              <w:top w:val="outset" w:sz="6" w:space="0" w:color="414142"/>
              <w:left w:val="outset" w:sz="6" w:space="0" w:color="414142"/>
              <w:bottom w:val="outset" w:sz="6" w:space="0" w:color="414142"/>
              <w:right w:val="outset" w:sz="6" w:space="0" w:color="414142"/>
            </w:tcBorders>
            <w:hideMark/>
          </w:tcPr>
          <w:p w14:paraId="1F86AD54" w14:textId="3EAA38E7" w:rsidR="005F3B40" w:rsidRPr="009B03E3" w:rsidRDefault="00AF5D54" w:rsidP="0097370E">
            <w:pPr>
              <w:spacing w:after="0" w:line="240" w:lineRule="auto"/>
              <w:jc w:val="both"/>
              <w:rPr>
                <w:rFonts w:ascii="Times New Roman" w:hAnsi="Times New Roman"/>
                <w:sz w:val="24"/>
                <w:szCs w:val="24"/>
                <w:highlight w:val="yellow"/>
              </w:rPr>
            </w:pPr>
            <w:r>
              <w:rPr>
                <w:rFonts w:ascii="Times New Roman" w:eastAsia="Times New Roman" w:hAnsi="Times New Roman"/>
                <w:sz w:val="24"/>
                <w:szCs w:val="24"/>
                <w:lang w:eastAsia="lv-LV"/>
              </w:rPr>
              <w:t>Tiks precizēts</w:t>
            </w:r>
            <w:r w:rsidR="001225DF" w:rsidRPr="009B03E3">
              <w:rPr>
                <w:rFonts w:ascii="Times New Roman" w:eastAsia="Times New Roman" w:hAnsi="Times New Roman"/>
                <w:sz w:val="24"/>
                <w:szCs w:val="24"/>
                <w:lang w:eastAsia="lv-LV"/>
              </w:rPr>
              <w:t xml:space="preserve"> </w:t>
            </w:r>
            <w:r w:rsidR="00B4050D">
              <w:rPr>
                <w:rFonts w:ascii="Times New Roman" w:eastAsia="Times New Roman" w:hAnsi="Times New Roman"/>
                <w:sz w:val="24"/>
                <w:szCs w:val="24"/>
                <w:lang w:eastAsia="lv-LV"/>
              </w:rPr>
              <w:t>____________________________</w:t>
            </w:r>
          </w:p>
        </w:tc>
      </w:tr>
      <w:tr w:rsidR="009B03E3" w:rsidRPr="009B03E3" w14:paraId="7DA93FF2" w14:textId="77777777" w:rsidTr="005F3B40">
        <w:tc>
          <w:tcPr>
            <w:tcW w:w="300" w:type="pct"/>
            <w:tcBorders>
              <w:top w:val="outset" w:sz="6" w:space="0" w:color="414142"/>
              <w:left w:val="outset" w:sz="6" w:space="0" w:color="414142"/>
              <w:bottom w:val="outset" w:sz="6" w:space="0" w:color="414142"/>
              <w:right w:val="outset" w:sz="6" w:space="0" w:color="414142"/>
            </w:tcBorders>
            <w:hideMark/>
          </w:tcPr>
          <w:p w14:paraId="77FF614D" w14:textId="77777777" w:rsidR="005F3B40" w:rsidRPr="009B03E3" w:rsidRDefault="005F3B40" w:rsidP="003465C6">
            <w:pPr>
              <w:pStyle w:val="tvhtml"/>
              <w:spacing w:before="0" w:beforeAutospacing="0" w:after="0" w:afterAutospacing="0"/>
              <w:jc w:val="center"/>
              <w:rPr>
                <w:lang w:eastAsia="en-US"/>
              </w:rPr>
            </w:pPr>
            <w:r w:rsidRPr="009B03E3">
              <w:rPr>
                <w:lang w:eastAsia="en-US"/>
              </w:rPr>
              <w:t>4.</w:t>
            </w:r>
          </w:p>
        </w:tc>
        <w:tc>
          <w:tcPr>
            <w:tcW w:w="1700" w:type="pct"/>
            <w:tcBorders>
              <w:top w:val="outset" w:sz="6" w:space="0" w:color="414142"/>
              <w:left w:val="outset" w:sz="6" w:space="0" w:color="414142"/>
              <w:bottom w:val="outset" w:sz="6" w:space="0" w:color="414142"/>
              <w:right w:val="outset" w:sz="6" w:space="0" w:color="414142"/>
            </w:tcBorders>
            <w:hideMark/>
          </w:tcPr>
          <w:p w14:paraId="1B44C1C8" w14:textId="77777777" w:rsidR="005F3B40" w:rsidRPr="009B03E3" w:rsidRDefault="005F3B40" w:rsidP="003465C6">
            <w:pPr>
              <w:spacing w:after="0" w:line="240" w:lineRule="auto"/>
              <w:rPr>
                <w:rFonts w:ascii="Times New Roman" w:hAnsi="Times New Roman"/>
                <w:sz w:val="24"/>
                <w:szCs w:val="24"/>
              </w:rPr>
            </w:pPr>
            <w:r w:rsidRPr="009B03E3">
              <w:rPr>
                <w:rFonts w:ascii="Times New Roman" w:hAnsi="Times New Roman"/>
                <w:sz w:val="24"/>
                <w:szCs w:val="24"/>
              </w:rPr>
              <w:t>Cita informācija</w:t>
            </w:r>
          </w:p>
        </w:tc>
        <w:tc>
          <w:tcPr>
            <w:tcW w:w="3000" w:type="pct"/>
            <w:tcBorders>
              <w:top w:val="outset" w:sz="6" w:space="0" w:color="414142"/>
              <w:left w:val="outset" w:sz="6" w:space="0" w:color="414142"/>
              <w:bottom w:val="outset" w:sz="6" w:space="0" w:color="414142"/>
              <w:right w:val="outset" w:sz="6" w:space="0" w:color="414142"/>
            </w:tcBorders>
            <w:hideMark/>
          </w:tcPr>
          <w:p w14:paraId="37CAE468" w14:textId="77777777" w:rsidR="005F3B40" w:rsidRPr="009B03E3" w:rsidRDefault="005F3B40" w:rsidP="0097370E">
            <w:pPr>
              <w:spacing w:after="0" w:line="240" w:lineRule="auto"/>
              <w:rPr>
                <w:rFonts w:ascii="Times New Roman" w:hAnsi="Times New Roman"/>
                <w:sz w:val="24"/>
                <w:szCs w:val="24"/>
              </w:rPr>
            </w:pPr>
            <w:r w:rsidRPr="009B03E3">
              <w:rPr>
                <w:rFonts w:ascii="Times New Roman" w:hAnsi="Times New Roman"/>
                <w:sz w:val="24"/>
                <w:szCs w:val="24"/>
              </w:rPr>
              <w:t>Nav.</w:t>
            </w:r>
          </w:p>
        </w:tc>
      </w:tr>
    </w:tbl>
    <w:p w14:paraId="610722C5" w14:textId="77777777" w:rsidR="005F3B40" w:rsidRPr="009B03E3" w:rsidRDefault="005F3B40" w:rsidP="003465C6">
      <w:pPr>
        <w:shd w:val="clear" w:color="auto" w:fill="FFFFFF"/>
        <w:spacing w:after="0" w:line="240" w:lineRule="auto"/>
        <w:rPr>
          <w:rFonts w:ascii="Times New Roman" w:hAnsi="Times New Roman"/>
          <w:sz w:val="24"/>
          <w:szCs w:val="24"/>
        </w:rPr>
      </w:pPr>
      <w:r w:rsidRPr="009B03E3">
        <w:rPr>
          <w:rFonts w:ascii="Times New Roman" w:hAnsi="Times New Roman"/>
          <w:sz w:val="24"/>
          <w:szCs w:val="24"/>
        </w:rPr>
        <w:lastRenderedPageBreak/>
        <w:t> </w:t>
      </w:r>
    </w:p>
    <w:p w14:paraId="69CDC325" w14:textId="77777777" w:rsidR="00B9368F" w:rsidRPr="009B03E3" w:rsidRDefault="00B9368F" w:rsidP="003465C6">
      <w:pPr>
        <w:shd w:val="clear" w:color="auto" w:fill="FFFFFF"/>
        <w:spacing w:after="0" w:line="240" w:lineRule="auto"/>
        <w:rPr>
          <w:rFonts w:ascii="Times New Roman" w:hAnsi="Times New Roman"/>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627"/>
        <w:gridCol w:w="3553"/>
        <w:gridCol w:w="6270"/>
      </w:tblGrid>
      <w:tr w:rsidR="009B03E3" w:rsidRPr="009B03E3" w14:paraId="2696AD51" w14:textId="77777777" w:rsidTr="005F3B40">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15C44BA5" w14:textId="77777777" w:rsidR="005F3B40" w:rsidRPr="009B03E3" w:rsidRDefault="005F3B40" w:rsidP="0097370E">
            <w:pPr>
              <w:pStyle w:val="tvhtml"/>
              <w:spacing w:before="0" w:beforeAutospacing="0" w:after="0" w:afterAutospacing="0"/>
              <w:jc w:val="center"/>
              <w:rPr>
                <w:b/>
                <w:bCs/>
                <w:lang w:eastAsia="en-US"/>
              </w:rPr>
            </w:pPr>
            <w:r w:rsidRPr="009B03E3">
              <w:rPr>
                <w:b/>
                <w:bCs/>
                <w:lang w:eastAsia="en-US"/>
              </w:rPr>
              <w:t>VII. Tiesību akta projekta izpildes nodrošināšana un tās ietekme uz institūcijām</w:t>
            </w:r>
          </w:p>
        </w:tc>
      </w:tr>
      <w:tr w:rsidR="009B03E3" w:rsidRPr="009B03E3" w14:paraId="5B23175A" w14:textId="77777777" w:rsidTr="005F3B40">
        <w:tc>
          <w:tcPr>
            <w:tcW w:w="300" w:type="pct"/>
            <w:tcBorders>
              <w:top w:val="outset" w:sz="6" w:space="0" w:color="414142"/>
              <w:left w:val="outset" w:sz="6" w:space="0" w:color="414142"/>
              <w:bottom w:val="outset" w:sz="6" w:space="0" w:color="414142"/>
              <w:right w:val="outset" w:sz="6" w:space="0" w:color="414142"/>
            </w:tcBorders>
            <w:hideMark/>
          </w:tcPr>
          <w:p w14:paraId="7D83D4FD" w14:textId="77777777" w:rsidR="005F3B40" w:rsidRPr="009B03E3" w:rsidRDefault="005F3B40" w:rsidP="003465C6">
            <w:pPr>
              <w:pStyle w:val="tvhtml"/>
              <w:spacing w:before="0" w:beforeAutospacing="0" w:after="0" w:afterAutospacing="0"/>
              <w:jc w:val="center"/>
              <w:rPr>
                <w:lang w:eastAsia="en-US"/>
              </w:rPr>
            </w:pPr>
            <w:r w:rsidRPr="009B03E3">
              <w:rPr>
                <w:lang w:eastAsia="en-US"/>
              </w:rPr>
              <w:t>1.</w:t>
            </w:r>
          </w:p>
        </w:tc>
        <w:tc>
          <w:tcPr>
            <w:tcW w:w="1700" w:type="pct"/>
            <w:tcBorders>
              <w:top w:val="outset" w:sz="6" w:space="0" w:color="414142"/>
              <w:left w:val="outset" w:sz="6" w:space="0" w:color="414142"/>
              <w:bottom w:val="outset" w:sz="6" w:space="0" w:color="414142"/>
              <w:right w:val="outset" w:sz="6" w:space="0" w:color="414142"/>
            </w:tcBorders>
            <w:hideMark/>
          </w:tcPr>
          <w:p w14:paraId="458EE293" w14:textId="77777777" w:rsidR="005F3B40" w:rsidRPr="009B03E3" w:rsidRDefault="005F3B40" w:rsidP="003465C6">
            <w:pPr>
              <w:spacing w:after="0" w:line="240" w:lineRule="auto"/>
              <w:rPr>
                <w:rFonts w:ascii="Times New Roman" w:hAnsi="Times New Roman"/>
                <w:sz w:val="24"/>
                <w:szCs w:val="24"/>
              </w:rPr>
            </w:pPr>
            <w:r w:rsidRPr="009B03E3">
              <w:rPr>
                <w:rFonts w:ascii="Times New Roman" w:hAnsi="Times New Roman"/>
                <w:sz w:val="24"/>
                <w:szCs w:val="24"/>
              </w:rPr>
              <w:t>Projekta izpildē iesaistītās institūcijas</w:t>
            </w:r>
          </w:p>
        </w:tc>
        <w:tc>
          <w:tcPr>
            <w:tcW w:w="3000" w:type="pct"/>
            <w:tcBorders>
              <w:top w:val="outset" w:sz="6" w:space="0" w:color="414142"/>
              <w:left w:val="outset" w:sz="6" w:space="0" w:color="414142"/>
              <w:bottom w:val="outset" w:sz="6" w:space="0" w:color="414142"/>
              <w:right w:val="outset" w:sz="6" w:space="0" w:color="414142"/>
            </w:tcBorders>
            <w:hideMark/>
          </w:tcPr>
          <w:p w14:paraId="1596F433" w14:textId="77777777" w:rsidR="005F3B40" w:rsidRPr="009B03E3" w:rsidRDefault="00C4454C" w:rsidP="0097370E">
            <w:pPr>
              <w:spacing w:after="0" w:line="240" w:lineRule="auto"/>
              <w:jc w:val="both"/>
              <w:rPr>
                <w:rFonts w:ascii="Times New Roman" w:hAnsi="Times New Roman"/>
                <w:sz w:val="24"/>
                <w:szCs w:val="24"/>
              </w:rPr>
            </w:pPr>
            <w:r w:rsidRPr="009B03E3">
              <w:rPr>
                <w:rFonts w:ascii="Times New Roman" w:hAnsi="Times New Roman"/>
                <w:sz w:val="24"/>
                <w:szCs w:val="24"/>
              </w:rPr>
              <w:t xml:space="preserve">Valsts akciju sabiedrība </w:t>
            </w:r>
            <w:r w:rsidR="00033B2C">
              <w:rPr>
                <w:rFonts w:ascii="Times New Roman" w:hAnsi="Times New Roman"/>
                <w:sz w:val="24"/>
                <w:szCs w:val="24"/>
              </w:rPr>
              <w:t>“</w:t>
            </w:r>
            <w:r w:rsidRPr="009B03E3">
              <w:rPr>
                <w:rFonts w:ascii="Times New Roman" w:hAnsi="Times New Roman"/>
                <w:sz w:val="24"/>
                <w:szCs w:val="24"/>
              </w:rPr>
              <w:t>Elektroniskie sakari</w:t>
            </w:r>
            <w:r w:rsidR="00033B2C">
              <w:rPr>
                <w:rFonts w:ascii="Times New Roman" w:hAnsi="Times New Roman"/>
                <w:sz w:val="24"/>
                <w:szCs w:val="24"/>
              </w:rPr>
              <w:t>”</w:t>
            </w:r>
            <w:r w:rsidRPr="009B03E3">
              <w:rPr>
                <w:rFonts w:ascii="Times New Roman" w:hAnsi="Times New Roman"/>
                <w:sz w:val="24"/>
                <w:szCs w:val="24"/>
              </w:rPr>
              <w:t>, Valsts ieņēmumu dienests.</w:t>
            </w:r>
          </w:p>
        </w:tc>
      </w:tr>
      <w:tr w:rsidR="009B03E3" w:rsidRPr="009B03E3" w14:paraId="28F87705" w14:textId="77777777" w:rsidTr="005F3B40">
        <w:tc>
          <w:tcPr>
            <w:tcW w:w="300" w:type="pct"/>
            <w:tcBorders>
              <w:top w:val="outset" w:sz="6" w:space="0" w:color="414142"/>
              <w:left w:val="outset" w:sz="6" w:space="0" w:color="414142"/>
              <w:bottom w:val="outset" w:sz="6" w:space="0" w:color="414142"/>
              <w:right w:val="outset" w:sz="6" w:space="0" w:color="414142"/>
            </w:tcBorders>
            <w:hideMark/>
          </w:tcPr>
          <w:p w14:paraId="6C43B4D4" w14:textId="77777777" w:rsidR="005F3B40" w:rsidRPr="009B03E3" w:rsidRDefault="005F3B40" w:rsidP="003465C6">
            <w:pPr>
              <w:pStyle w:val="tvhtml"/>
              <w:spacing w:before="0" w:beforeAutospacing="0" w:after="0" w:afterAutospacing="0"/>
              <w:jc w:val="center"/>
              <w:rPr>
                <w:lang w:eastAsia="en-US"/>
              </w:rPr>
            </w:pPr>
            <w:r w:rsidRPr="009B03E3">
              <w:rPr>
                <w:lang w:eastAsia="en-US"/>
              </w:rPr>
              <w:t>2.</w:t>
            </w:r>
          </w:p>
        </w:tc>
        <w:tc>
          <w:tcPr>
            <w:tcW w:w="1700" w:type="pct"/>
            <w:tcBorders>
              <w:top w:val="outset" w:sz="6" w:space="0" w:color="414142"/>
              <w:left w:val="outset" w:sz="6" w:space="0" w:color="414142"/>
              <w:bottom w:val="outset" w:sz="6" w:space="0" w:color="414142"/>
              <w:right w:val="outset" w:sz="6" w:space="0" w:color="414142"/>
            </w:tcBorders>
            <w:hideMark/>
          </w:tcPr>
          <w:p w14:paraId="7C7D20BF" w14:textId="77777777" w:rsidR="005F3B40" w:rsidRPr="009B03E3" w:rsidRDefault="005F3B40" w:rsidP="003465C6">
            <w:pPr>
              <w:spacing w:after="0" w:line="240" w:lineRule="auto"/>
              <w:rPr>
                <w:rFonts w:ascii="Times New Roman" w:hAnsi="Times New Roman"/>
                <w:sz w:val="24"/>
                <w:szCs w:val="24"/>
              </w:rPr>
            </w:pPr>
            <w:r w:rsidRPr="009B03E3">
              <w:rPr>
                <w:rFonts w:ascii="Times New Roman" w:hAnsi="Times New Roman"/>
                <w:sz w:val="24"/>
                <w:szCs w:val="24"/>
              </w:rPr>
              <w:t>Projekta izpildes ietekme uz pārvaldes funkcijām un institucionālo struktūru.</w:t>
            </w:r>
          </w:p>
          <w:p w14:paraId="675E49C7" w14:textId="77777777" w:rsidR="005F3B40" w:rsidRPr="009B03E3" w:rsidRDefault="005F3B40" w:rsidP="0097370E">
            <w:pPr>
              <w:spacing w:after="0" w:line="240" w:lineRule="auto"/>
              <w:rPr>
                <w:rFonts w:ascii="Times New Roman" w:hAnsi="Times New Roman"/>
                <w:sz w:val="24"/>
                <w:szCs w:val="24"/>
              </w:rPr>
            </w:pPr>
            <w:r w:rsidRPr="009B03E3">
              <w:rPr>
                <w:rFonts w:ascii="Times New Roman" w:hAnsi="Times New Roman"/>
                <w:sz w:val="24"/>
                <w:szCs w:val="24"/>
              </w:rPr>
              <w:t>Jaunu institūciju izveide, esošu institūciju likvidācija vai reorganizācija, to ietekme uz institūcijas cilvēkresursiem</w:t>
            </w:r>
          </w:p>
        </w:tc>
        <w:tc>
          <w:tcPr>
            <w:tcW w:w="3000" w:type="pct"/>
            <w:tcBorders>
              <w:top w:val="outset" w:sz="6" w:space="0" w:color="414142"/>
              <w:left w:val="outset" w:sz="6" w:space="0" w:color="414142"/>
              <w:bottom w:val="outset" w:sz="6" w:space="0" w:color="414142"/>
              <w:right w:val="outset" w:sz="6" w:space="0" w:color="414142"/>
            </w:tcBorders>
          </w:tcPr>
          <w:p w14:paraId="27414404" w14:textId="77777777" w:rsidR="005F3B40" w:rsidRPr="009B03E3" w:rsidRDefault="005F3B40" w:rsidP="00CC73A2">
            <w:pPr>
              <w:spacing w:after="0" w:line="240" w:lineRule="auto"/>
              <w:ind w:right="102"/>
              <w:jc w:val="both"/>
              <w:rPr>
                <w:rFonts w:ascii="Times New Roman" w:hAnsi="Times New Roman"/>
                <w:iCs/>
                <w:sz w:val="24"/>
                <w:szCs w:val="24"/>
              </w:rPr>
            </w:pPr>
            <w:r w:rsidRPr="009B03E3">
              <w:rPr>
                <w:rFonts w:ascii="Times New Roman" w:hAnsi="Times New Roman"/>
                <w:iCs/>
                <w:sz w:val="24"/>
                <w:szCs w:val="24"/>
              </w:rPr>
              <w:t>Projekta izpildes rezultātā netiks izveidotas jaunas institūcijas un netiks likvidētas vai reorganizētas esošās institūcijas.</w:t>
            </w:r>
          </w:p>
          <w:p w14:paraId="0DDB1670" w14:textId="77777777" w:rsidR="005F3B40" w:rsidRPr="009B03E3" w:rsidRDefault="005F3B40">
            <w:pPr>
              <w:spacing w:after="0" w:line="240" w:lineRule="auto"/>
              <w:ind w:right="102"/>
              <w:jc w:val="both"/>
              <w:rPr>
                <w:rFonts w:ascii="Times New Roman" w:hAnsi="Times New Roman"/>
                <w:iCs/>
                <w:sz w:val="24"/>
                <w:szCs w:val="24"/>
              </w:rPr>
            </w:pPr>
          </w:p>
        </w:tc>
      </w:tr>
      <w:tr w:rsidR="005F3B40" w:rsidRPr="009B03E3" w14:paraId="40339B7D" w14:textId="77777777" w:rsidTr="005F3B40">
        <w:tc>
          <w:tcPr>
            <w:tcW w:w="300" w:type="pct"/>
            <w:tcBorders>
              <w:top w:val="outset" w:sz="6" w:space="0" w:color="414142"/>
              <w:left w:val="outset" w:sz="6" w:space="0" w:color="414142"/>
              <w:bottom w:val="outset" w:sz="6" w:space="0" w:color="414142"/>
              <w:right w:val="outset" w:sz="6" w:space="0" w:color="414142"/>
            </w:tcBorders>
            <w:hideMark/>
          </w:tcPr>
          <w:p w14:paraId="5EFAB45C" w14:textId="77777777" w:rsidR="005F3B40" w:rsidRPr="009B03E3" w:rsidRDefault="005F3B40" w:rsidP="003465C6">
            <w:pPr>
              <w:pStyle w:val="tvhtml"/>
              <w:spacing w:before="0" w:beforeAutospacing="0" w:after="0" w:afterAutospacing="0"/>
              <w:jc w:val="center"/>
              <w:rPr>
                <w:lang w:eastAsia="en-US"/>
              </w:rPr>
            </w:pPr>
            <w:r w:rsidRPr="009B03E3">
              <w:rPr>
                <w:lang w:eastAsia="en-US"/>
              </w:rPr>
              <w:t>3.</w:t>
            </w:r>
          </w:p>
        </w:tc>
        <w:tc>
          <w:tcPr>
            <w:tcW w:w="1700" w:type="pct"/>
            <w:tcBorders>
              <w:top w:val="outset" w:sz="6" w:space="0" w:color="414142"/>
              <w:left w:val="outset" w:sz="6" w:space="0" w:color="414142"/>
              <w:bottom w:val="outset" w:sz="6" w:space="0" w:color="414142"/>
              <w:right w:val="outset" w:sz="6" w:space="0" w:color="414142"/>
            </w:tcBorders>
            <w:hideMark/>
          </w:tcPr>
          <w:p w14:paraId="52E61A71" w14:textId="77777777" w:rsidR="005F3B40" w:rsidRPr="009B03E3" w:rsidRDefault="005F3B40" w:rsidP="003465C6">
            <w:pPr>
              <w:spacing w:after="0" w:line="240" w:lineRule="auto"/>
              <w:rPr>
                <w:rFonts w:ascii="Times New Roman" w:hAnsi="Times New Roman"/>
                <w:sz w:val="24"/>
                <w:szCs w:val="24"/>
              </w:rPr>
            </w:pPr>
            <w:r w:rsidRPr="009B03E3">
              <w:rPr>
                <w:rFonts w:ascii="Times New Roman" w:hAnsi="Times New Roman"/>
                <w:sz w:val="24"/>
                <w:szCs w:val="24"/>
              </w:rPr>
              <w:t>Cita informācija</w:t>
            </w:r>
          </w:p>
        </w:tc>
        <w:tc>
          <w:tcPr>
            <w:tcW w:w="3000" w:type="pct"/>
            <w:tcBorders>
              <w:top w:val="outset" w:sz="6" w:space="0" w:color="414142"/>
              <w:left w:val="outset" w:sz="6" w:space="0" w:color="414142"/>
              <w:bottom w:val="outset" w:sz="6" w:space="0" w:color="414142"/>
              <w:right w:val="outset" w:sz="6" w:space="0" w:color="414142"/>
            </w:tcBorders>
            <w:hideMark/>
          </w:tcPr>
          <w:p w14:paraId="609145E7" w14:textId="77777777" w:rsidR="005F3B40" w:rsidRPr="009B03E3" w:rsidRDefault="005F3B40" w:rsidP="0097370E">
            <w:pPr>
              <w:spacing w:after="0" w:line="240" w:lineRule="auto"/>
              <w:rPr>
                <w:rFonts w:ascii="Times New Roman" w:hAnsi="Times New Roman"/>
                <w:sz w:val="24"/>
                <w:szCs w:val="24"/>
              </w:rPr>
            </w:pPr>
            <w:r w:rsidRPr="009B03E3">
              <w:rPr>
                <w:rFonts w:ascii="Times New Roman" w:hAnsi="Times New Roman"/>
                <w:sz w:val="24"/>
                <w:szCs w:val="24"/>
              </w:rPr>
              <w:t>Nav.</w:t>
            </w:r>
          </w:p>
        </w:tc>
      </w:tr>
    </w:tbl>
    <w:p w14:paraId="16E0EBD2" w14:textId="77777777" w:rsidR="005F3B40" w:rsidRPr="009B03E3" w:rsidRDefault="005F3B40" w:rsidP="003465C6">
      <w:pPr>
        <w:spacing w:after="0" w:line="240" w:lineRule="auto"/>
        <w:rPr>
          <w:rFonts w:ascii="Times New Roman" w:hAnsi="Times New Roman"/>
          <w:sz w:val="24"/>
          <w:szCs w:val="24"/>
        </w:rPr>
      </w:pPr>
    </w:p>
    <w:p w14:paraId="4DC38FDC" w14:textId="77777777" w:rsidR="005F3B40" w:rsidRPr="009B03E3" w:rsidRDefault="005F3B40" w:rsidP="003465C6">
      <w:pPr>
        <w:spacing w:after="0" w:line="240" w:lineRule="auto"/>
        <w:rPr>
          <w:rFonts w:ascii="Times New Roman" w:hAnsi="Times New Roman"/>
          <w:sz w:val="24"/>
          <w:szCs w:val="24"/>
        </w:rPr>
      </w:pPr>
    </w:p>
    <w:p w14:paraId="6272CA14" w14:textId="77777777" w:rsidR="00611359" w:rsidRPr="009B03E3" w:rsidRDefault="00611359" w:rsidP="00AF5D54">
      <w:pPr>
        <w:spacing w:after="0" w:line="240" w:lineRule="auto"/>
        <w:ind w:firstLine="720"/>
        <w:jc w:val="both"/>
        <w:rPr>
          <w:rFonts w:ascii="Times New Roman" w:eastAsia="Times New Roman" w:hAnsi="Times New Roman"/>
          <w:sz w:val="24"/>
          <w:szCs w:val="24"/>
        </w:rPr>
      </w:pPr>
      <w:r w:rsidRPr="009B03E3">
        <w:rPr>
          <w:rFonts w:ascii="Times New Roman" w:eastAsia="Times New Roman" w:hAnsi="Times New Roman"/>
          <w:sz w:val="24"/>
          <w:szCs w:val="24"/>
        </w:rPr>
        <w:t>Iesniedzējs:</w:t>
      </w:r>
    </w:p>
    <w:p w14:paraId="68BF5554" w14:textId="77777777" w:rsidR="00611359" w:rsidRPr="009B03E3" w:rsidRDefault="00B84F06" w:rsidP="00AF5D54">
      <w:pPr>
        <w:spacing w:after="0" w:line="240" w:lineRule="auto"/>
        <w:ind w:firstLine="720"/>
        <w:jc w:val="both"/>
        <w:rPr>
          <w:rFonts w:ascii="Times New Roman" w:eastAsia="Times New Roman" w:hAnsi="Times New Roman"/>
          <w:sz w:val="24"/>
          <w:szCs w:val="24"/>
        </w:rPr>
      </w:pPr>
      <w:r w:rsidRPr="009B03E3">
        <w:rPr>
          <w:rFonts w:ascii="Times New Roman" w:eastAsia="Times New Roman" w:hAnsi="Times New Roman"/>
          <w:sz w:val="24"/>
          <w:szCs w:val="24"/>
        </w:rPr>
        <w:t>satiksmes</w:t>
      </w:r>
      <w:r w:rsidR="00F5799E" w:rsidRPr="009B03E3">
        <w:rPr>
          <w:rFonts w:ascii="Times New Roman" w:eastAsia="Times New Roman" w:hAnsi="Times New Roman"/>
          <w:sz w:val="24"/>
          <w:szCs w:val="24"/>
        </w:rPr>
        <w:t xml:space="preserve"> ministrs</w:t>
      </w:r>
      <w:r w:rsidR="00F5799E" w:rsidRPr="009B03E3">
        <w:rPr>
          <w:rFonts w:ascii="Times New Roman" w:eastAsia="Times New Roman" w:hAnsi="Times New Roman"/>
          <w:sz w:val="24"/>
          <w:szCs w:val="24"/>
        </w:rPr>
        <w:tab/>
      </w:r>
      <w:r w:rsidR="00611359" w:rsidRPr="009B03E3">
        <w:rPr>
          <w:rFonts w:ascii="Times New Roman" w:eastAsia="Times New Roman" w:hAnsi="Times New Roman"/>
          <w:sz w:val="24"/>
          <w:szCs w:val="24"/>
        </w:rPr>
        <w:t xml:space="preserve"> </w:t>
      </w:r>
      <w:r w:rsidR="00611359" w:rsidRPr="009B03E3">
        <w:rPr>
          <w:rFonts w:ascii="Times New Roman" w:eastAsia="Times New Roman" w:hAnsi="Times New Roman"/>
          <w:sz w:val="24"/>
          <w:szCs w:val="24"/>
        </w:rPr>
        <w:tab/>
      </w:r>
      <w:r w:rsidR="00611359" w:rsidRPr="009B03E3">
        <w:rPr>
          <w:rFonts w:ascii="Times New Roman" w:eastAsia="Times New Roman" w:hAnsi="Times New Roman"/>
          <w:sz w:val="24"/>
          <w:szCs w:val="24"/>
        </w:rPr>
        <w:tab/>
      </w:r>
      <w:r w:rsidR="00611359" w:rsidRPr="009B03E3">
        <w:rPr>
          <w:rFonts w:ascii="Times New Roman" w:eastAsia="Times New Roman" w:hAnsi="Times New Roman"/>
          <w:sz w:val="24"/>
          <w:szCs w:val="24"/>
        </w:rPr>
        <w:tab/>
      </w:r>
      <w:r w:rsidR="00611359" w:rsidRPr="009B03E3">
        <w:rPr>
          <w:rFonts w:ascii="Times New Roman" w:eastAsia="Times New Roman" w:hAnsi="Times New Roman"/>
          <w:sz w:val="24"/>
          <w:szCs w:val="24"/>
        </w:rPr>
        <w:tab/>
      </w:r>
      <w:r w:rsidR="00611359" w:rsidRPr="009B03E3">
        <w:rPr>
          <w:rFonts w:ascii="Times New Roman" w:eastAsia="Times New Roman" w:hAnsi="Times New Roman"/>
          <w:sz w:val="24"/>
          <w:szCs w:val="24"/>
        </w:rPr>
        <w:tab/>
      </w:r>
      <w:r w:rsidR="00611359" w:rsidRPr="009B03E3">
        <w:rPr>
          <w:rFonts w:ascii="Times New Roman" w:eastAsia="Times New Roman" w:hAnsi="Times New Roman"/>
          <w:sz w:val="24"/>
          <w:szCs w:val="24"/>
        </w:rPr>
        <w:tab/>
      </w:r>
      <w:r w:rsidRPr="009B03E3">
        <w:rPr>
          <w:rFonts w:ascii="Times New Roman" w:eastAsia="Times New Roman" w:hAnsi="Times New Roman"/>
          <w:sz w:val="24"/>
          <w:szCs w:val="24"/>
        </w:rPr>
        <w:t>T</w:t>
      </w:r>
      <w:r w:rsidR="00C4454C" w:rsidRPr="009B03E3">
        <w:rPr>
          <w:rFonts w:ascii="Times New Roman" w:eastAsia="Times New Roman" w:hAnsi="Times New Roman"/>
          <w:sz w:val="24"/>
          <w:szCs w:val="24"/>
        </w:rPr>
        <w:t>.</w:t>
      </w:r>
      <w:r w:rsidRPr="009B03E3">
        <w:rPr>
          <w:rFonts w:ascii="Times New Roman" w:eastAsia="Times New Roman" w:hAnsi="Times New Roman"/>
          <w:sz w:val="24"/>
          <w:szCs w:val="24"/>
        </w:rPr>
        <w:t xml:space="preserve"> </w:t>
      </w:r>
      <w:proofErr w:type="spellStart"/>
      <w:r w:rsidRPr="009B03E3">
        <w:rPr>
          <w:rFonts w:ascii="Times New Roman" w:eastAsia="Times New Roman" w:hAnsi="Times New Roman"/>
          <w:sz w:val="24"/>
          <w:szCs w:val="24"/>
        </w:rPr>
        <w:t>Linkaits</w:t>
      </w:r>
      <w:proofErr w:type="spellEnd"/>
    </w:p>
    <w:p w14:paraId="0F395F38" w14:textId="77777777" w:rsidR="005F3B40" w:rsidRPr="009B03E3" w:rsidRDefault="005F3B40">
      <w:pPr>
        <w:tabs>
          <w:tab w:val="left" w:pos="6237"/>
        </w:tabs>
        <w:spacing w:after="0" w:line="240" w:lineRule="auto"/>
        <w:rPr>
          <w:rFonts w:ascii="Times New Roman" w:hAnsi="Times New Roman"/>
          <w:sz w:val="24"/>
          <w:szCs w:val="24"/>
        </w:rPr>
      </w:pPr>
    </w:p>
    <w:p w14:paraId="2706A9CF" w14:textId="2355D9CD" w:rsidR="006605FE" w:rsidRPr="009B03E3" w:rsidRDefault="00AF5D54" w:rsidP="00AF5D54">
      <w:pPr>
        <w:spacing w:after="0" w:line="240" w:lineRule="auto"/>
        <w:rPr>
          <w:rFonts w:ascii="Times New Roman" w:hAnsi="Times New Roman"/>
          <w:sz w:val="24"/>
          <w:szCs w:val="24"/>
        </w:rPr>
      </w:pPr>
      <w:r>
        <w:rPr>
          <w:rFonts w:ascii="Times New Roman" w:hAnsi="Times New Roman"/>
          <w:sz w:val="24"/>
          <w:szCs w:val="24"/>
        </w:rPr>
        <w:tab/>
      </w:r>
      <w:r w:rsidR="00C4454C" w:rsidRPr="009B03E3">
        <w:rPr>
          <w:rFonts w:ascii="Times New Roman" w:hAnsi="Times New Roman"/>
          <w:sz w:val="24"/>
          <w:szCs w:val="24"/>
        </w:rPr>
        <w:t>Vīza:</w:t>
      </w:r>
    </w:p>
    <w:p w14:paraId="45AD2219" w14:textId="44BC1138" w:rsidR="00C4454C" w:rsidRPr="009B03E3" w:rsidRDefault="00AF5D54" w:rsidP="00AF5D54">
      <w:pPr>
        <w:spacing w:after="0" w:line="240" w:lineRule="auto"/>
        <w:rPr>
          <w:rFonts w:ascii="Times New Roman" w:hAnsi="Times New Roman"/>
          <w:sz w:val="24"/>
          <w:szCs w:val="24"/>
        </w:rPr>
      </w:pPr>
      <w:r>
        <w:rPr>
          <w:rFonts w:ascii="Times New Roman" w:hAnsi="Times New Roman"/>
          <w:sz w:val="24"/>
          <w:szCs w:val="24"/>
        </w:rPr>
        <w:tab/>
      </w:r>
      <w:r w:rsidR="00C4454C" w:rsidRPr="009B03E3">
        <w:rPr>
          <w:rFonts w:ascii="Times New Roman" w:hAnsi="Times New Roman"/>
          <w:sz w:val="24"/>
          <w:szCs w:val="24"/>
        </w:rPr>
        <w:t>Valsts sekretāre</w:t>
      </w:r>
      <w:r w:rsidR="00C4454C" w:rsidRPr="009B03E3">
        <w:rPr>
          <w:rFonts w:ascii="Times New Roman" w:hAnsi="Times New Roman"/>
          <w:sz w:val="24"/>
          <w:szCs w:val="24"/>
        </w:rPr>
        <w:tab/>
      </w:r>
      <w:r w:rsidR="00C4454C" w:rsidRPr="009B03E3">
        <w:rPr>
          <w:rFonts w:ascii="Times New Roman" w:hAnsi="Times New Roman"/>
          <w:sz w:val="24"/>
          <w:szCs w:val="24"/>
        </w:rPr>
        <w:tab/>
      </w:r>
      <w:r w:rsidR="007D5D8C">
        <w:rPr>
          <w:rFonts w:ascii="Times New Roman" w:hAnsi="Times New Roman"/>
          <w:sz w:val="24"/>
          <w:szCs w:val="24"/>
        </w:rPr>
        <w:tab/>
      </w:r>
      <w:r w:rsidR="007D5D8C">
        <w:rPr>
          <w:rFonts w:ascii="Times New Roman" w:hAnsi="Times New Roman"/>
          <w:sz w:val="24"/>
          <w:szCs w:val="24"/>
        </w:rPr>
        <w:tab/>
      </w:r>
      <w:r w:rsidR="007D5D8C">
        <w:rPr>
          <w:rFonts w:ascii="Times New Roman" w:hAnsi="Times New Roman"/>
          <w:sz w:val="24"/>
          <w:szCs w:val="24"/>
        </w:rPr>
        <w:tab/>
      </w:r>
      <w:r w:rsidR="007D5D8C">
        <w:rPr>
          <w:rFonts w:ascii="Times New Roman" w:hAnsi="Times New Roman"/>
          <w:sz w:val="24"/>
          <w:szCs w:val="24"/>
        </w:rPr>
        <w:tab/>
      </w:r>
      <w:r w:rsidR="007D5D8C">
        <w:rPr>
          <w:rFonts w:ascii="Times New Roman" w:hAnsi="Times New Roman"/>
          <w:sz w:val="24"/>
          <w:szCs w:val="24"/>
        </w:rPr>
        <w:tab/>
      </w:r>
      <w:proofErr w:type="spellStart"/>
      <w:r w:rsidR="00C4454C" w:rsidRPr="009B03E3">
        <w:rPr>
          <w:rFonts w:ascii="Times New Roman" w:hAnsi="Times New Roman"/>
          <w:sz w:val="24"/>
          <w:szCs w:val="24"/>
        </w:rPr>
        <w:t>I.Stepanova</w:t>
      </w:r>
      <w:proofErr w:type="spellEnd"/>
    </w:p>
    <w:p w14:paraId="1E01DFE4" w14:textId="77777777" w:rsidR="00C4454C" w:rsidRPr="009B03E3" w:rsidRDefault="00C4454C">
      <w:pPr>
        <w:tabs>
          <w:tab w:val="left" w:pos="6237"/>
        </w:tabs>
        <w:spacing w:after="0" w:line="240" w:lineRule="auto"/>
        <w:rPr>
          <w:rFonts w:ascii="Times New Roman" w:hAnsi="Times New Roman"/>
          <w:sz w:val="24"/>
          <w:szCs w:val="24"/>
        </w:rPr>
      </w:pPr>
    </w:p>
    <w:p w14:paraId="48F6FA41" w14:textId="77777777" w:rsidR="00C4454C" w:rsidRPr="009B03E3" w:rsidRDefault="00C4454C">
      <w:pPr>
        <w:tabs>
          <w:tab w:val="left" w:pos="6237"/>
        </w:tabs>
        <w:spacing w:after="0" w:line="240" w:lineRule="auto"/>
        <w:rPr>
          <w:rFonts w:ascii="Times New Roman" w:hAnsi="Times New Roman"/>
          <w:sz w:val="24"/>
          <w:szCs w:val="24"/>
        </w:rPr>
      </w:pPr>
    </w:p>
    <w:p w14:paraId="45EB73F1" w14:textId="77777777" w:rsidR="00C4454C" w:rsidRPr="009B03E3" w:rsidRDefault="00C4454C">
      <w:pPr>
        <w:tabs>
          <w:tab w:val="left" w:pos="6237"/>
        </w:tabs>
        <w:spacing w:after="0" w:line="240" w:lineRule="auto"/>
        <w:rPr>
          <w:rFonts w:ascii="Times New Roman" w:hAnsi="Times New Roman"/>
          <w:sz w:val="24"/>
          <w:szCs w:val="24"/>
        </w:rPr>
      </w:pPr>
    </w:p>
    <w:p w14:paraId="74CBC6B4" w14:textId="77777777" w:rsidR="00B84F06" w:rsidRPr="009B03E3" w:rsidRDefault="00B84F06" w:rsidP="00AF5D54">
      <w:pPr>
        <w:spacing w:after="0" w:line="240" w:lineRule="auto"/>
        <w:ind w:firstLine="720"/>
        <w:rPr>
          <w:rFonts w:ascii="Times New Roman" w:hAnsi="Times New Roman"/>
          <w:iCs/>
          <w:sz w:val="20"/>
          <w:szCs w:val="20"/>
        </w:rPr>
      </w:pPr>
      <w:r w:rsidRPr="009B03E3">
        <w:rPr>
          <w:rFonts w:ascii="Times New Roman" w:hAnsi="Times New Roman"/>
          <w:iCs/>
          <w:sz w:val="20"/>
          <w:szCs w:val="20"/>
        </w:rPr>
        <w:t>Bankoviča 67028111</w:t>
      </w:r>
    </w:p>
    <w:p w14:paraId="4892E5A5" w14:textId="77777777" w:rsidR="006605FE" w:rsidRPr="009B03E3" w:rsidRDefault="00B84F06" w:rsidP="00AF5D54">
      <w:pPr>
        <w:spacing w:after="0" w:line="240" w:lineRule="auto"/>
        <w:ind w:firstLine="720"/>
        <w:rPr>
          <w:rFonts w:ascii="Times New Roman" w:hAnsi="Times New Roman"/>
          <w:sz w:val="20"/>
          <w:szCs w:val="20"/>
          <w:lang w:eastAsia="ar-SA"/>
        </w:rPr>
      </w:pPr>
      <w:r w:rsidRPr="009B03E3">
        <w:rPr>
          <w:rFonts w:ascii="Times New Roman" w:hAnsi="Times New Roman"/>
          <w:iCs/>
          <w:sz w:val="20"/>
          <w:szCs w:val="20"/>
        </w:rPr>
        <w:t>Dace.Bankovica@sam.gov.lv</w:t>
      </w:r>
      <w:r w:rsidR="006605FE" w:rsidRPr="009B03E3">
        <w:rPr>
          <w:rStyle w:val="Hyperlink"/>
          <w:rFonts w:ascii="Times New Roman" w:hAnsi="Times New Roman"/>
          <w:color w:val="auto"/>
          <w:sz w:val="20"/>
          <w:szCs w:val="20"/>
          <w:u w:val="none"/>
          <w:lang w:eastAsia="ar-SA"/>
        </w:rPr>
        <w:t xml:space="preserve"> </w:t>
      </w:r>
    </w:p>
    <w:sectPr w:rsidR="006605FE" w:rsidRPr="009B03E3" w:rsidSect="00494507">
      <w:headerReference w:type="default" r:id="rId10"/>
      <w:footerReference w:type="default" r:id="rId11"/>
      <w:footerReference w:type="first" r:id="rId12"/>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5CBCF" w14:textId="77777777" w:rsidR="002E0D75" w:rsidRDefault="002E0D75" w:rsidP="004B231C">
      <w:pPr>
        <w:spacing w:after="0" w:line="240" w:lineRule="auto"/>
      </w:pPr>
      <w:r>
        <w:separator/>
      </w:r>
    </w:p>
  </w:endnote>
  <w:endnote w:type="continuationSeparator" w:id="0">
    <w:p w14:paraId="0C609B60" w14:textId="77777777" w:rsidR="002E0D75" w:rsidRDefault="002E0D75" w:rsidP="004B2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2E90C" w14:textId="07977A0B" w:rsidR="009232AC" w:rsidRPr="00363CF7" w:rsidRDefault="009232AC" w:rsidP="005A427E">
    <w:pPr>
      <w:pStyle w:val="Footer"/>
      <w:tabs>
        <w:tab w:val="clear" w:pos="4153"/>
        <w:tab w:val="clear" w:pos="8306"/>
        <w:tab w:val="center" w:pos="4535"/>
      </w:tabs>
      <w:rPr>
        <w:rFonts w:ascii="Times New Roman" w:hAnsi="Times New Roman"/>
        <w:sz w:val="20"/>
        <w:szCs w:val="20"/>
      </w:rPr>
    </w:pPr>
    <w:r w:rsidRPr="00363CF7">
      <w:rPr>
        <w:rFonts w:ascii="Times New Roman" w:hAnsi="Times New Roman"/>
        <w:noProof/>
        <w:sz w:val="20"/>
        <w:szCs w:val="20"/>
      </w:rPr>
      <w:fldChar w:fldCharType="begin"/>
    </w:r>
    <w:r w:rsidRPr="00363CF7">
      <w:rPr>
        <w:rFonts w:ascii="Times New Roman" w:hAnsi="Times New Roman"/>
        <w:noProof/>
        <w:sz w:val="20"/>
        <w:szCs w:val="20"/>
      </w:rPr>
      <w:instrText xml:space="preserve"> FILENAME   \* MERGEFORMAT </w:instrText>
    </w:r>
    <w:r w:rsidRPr="00363CF7">
      <w:rPr>
        <w:rFonts w:ascii="Times New Roman" w:hAnsi="Times New Roman"/>
        <w:noProof/>
        <w:sz w:val="20"/>
        <w:szCs w:val="20"/>
      </w:rPr>
      <w:fldChar w:fldCharType="separate"/>
    </w:r>
    <w:r>
      <w:rPr>
        <w:rFonts w:ascii="Times New Roman" w:hAnsi="Times New Roman"/>
        <w:noProof/>
        <w:sz w:val="20"/>
        <w:szCs w:val="20"/>
      </w:rPr>
      <w:t>SMAnot_</w:t>
    </w:r>
    <w:r w:rsidR="00171B43">
      <w:rPr>
        <w:rFonts w:ascii="Times New Roman" w:hAnsi="Times New Roman"/>
        <w:noProof/>
        <w:sz w:val="20"/>
        <w:szCs w:val="20"/>
      </w:rPr>
      <w:t>31</w:t>
    </w:r>
    <w:r>
      <w:rPr>
        <w:rFonts w:ascii="Times New Roman" w:hAnsi="Times New Roman"/>
        <w:noProof/>
        <w:sz w:val="20"/>
        <w:szCs w:val="20"/>
      </w:rPr>
      <w:t>0720</w:t>
    </w:r>
    <w:r w:rsidRPr="00363CF7">
      <w:rPr>
        <w:rFonts w:ascii="Times New Roman" w:hAnsi="Times New Roman"/>
        <w:noProof/>
        <w:sz w:val="20"/>
        <w:szCs w:val="20"/>
      </w:rPr>
      <w:fldChar w:fldCharType="end"/>
    </w:r>
    <w:r w:rsidR="007D5D8C">
      <w:rPr>
        <w:rFonts w:ascii="Times New Roman" w:hAnsi="Times New Roman"/>
        <w:noProof/>
        <w:sz w:val="20"/>
        <w:szCs w:val="20"/>
      </w:rPr>
      <w:t>_nodeva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1250E" w14:textId="77777777" w:rsidR="009232AC" w:rsidRDefault="009232AC" w:rsidP="00B84F06">
    <w:pPr>
      <w:pStyle w:val="Footer"/>
      <w:rPr>
        <w:rFonts w:ascii="Times New Roman" w:hAnsi="Times New Roman"/>
        <w:noProof/>
        <w:sz w:val="20"/>
        <w:szCs w:val="20"/>
      </w:rPr>
    </w:pPr>
  </w:p>
  <w:p w14:paraId="3A0AA093" w14:textId="66FE65A4" w:rsidR="009232AC" w:rsidRPr="00B84F06" w:rsidRDefault="009232AC" w:rsidP="00B84F06">
    <w:pPr>
      <w:pStyle w:val="Footer"/>
    </w:pPr>
    <w:r w:rsidRPr="00363CF7">
      <w:rPr>
        <w:rFonts w:ascii="Times New Roman" w:hAnsi="Times New Roman"/>
        <w:noProof/>
        <w:sz w:val="20"/>
        <w:szCs w:val="20"/>
      </w:rPr>
      <w:fldChar w:fldCharType="begin"/>
    </w:r>
    <w:r w:rsidRPr="00363CF7">
      <w:rPr>
        <w:rFonts w:ascii="Times New Roman" w:hAnsi="Times New Roman"/>
        <w:noProof/>
        <w:sz w:val="20"/>
        <w:szCs w:val="20"/>
      </w:rPr>
      <w:instrText xml:space="preserve"> FILENAME   \* MERGEFORMAT </w:instrText>
    </w:r>
    <w:r w:rsidRPr="00363CF7">
      <w:rPr>
        <w:rFonts w:ascii="Times New Roman" w:hAnsi="Times New Roman"/>
        <w:noProof/>
        <w:sz w:val="20"/>
        <w:szCs w:val="20"/>
      </w:rPr>
      <w:fldChar w:fldCharType="separate"/>
    </w:r>
    <w:r>
      <w:rPr>
        <w:rFonts w:ascii="Times New Roman" w:hAnsi="Times New Roman"/>
        <w:noProof/>
        <w:sz w:val="20"/>
        <w:szCs w:val="20"/>
      </w:rPr>
      <w:t>SMAnot_</w:t>
    </w:r>
    <w:r w:rsidR="00171B43">
      <w:rPr>
        <w:rFonts w:ascii="Times New Roman" w:hAnsi="Times New Roman"/>
        <w:noProof/>
        <w:sz w:val="20"/>
        <w:szCs w:val="20"/>
      </w:rPr>
      <w:t>31</w:t>
    </w:r>
    <w:r>
      <w:rPr>
        <w:rFonts w:ascii="Times New Roman" w:hAnsi="Times New Roman"/>
        <w:noProof/>
        <w:sz w:val="20"/>
        <w:szCs w:val="20"/>
      </w:rPr>
      <w:t>0720_nodeva</w:t>
    </w:r>
    <w:r w:rsidRPr="00363CF7">
      <w:rPr>
        <w:rFonts w:ascii="Times New Roman" w:hAnsi="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8F65BC" w14:textId="77777777" w:rsidR="002E0D75" w:rsidRDefault="002E0D75" w:rsidP="004B231C">
      <w:pPr>
        <w:spacing w:after="0" w:line="240" w:lineRule="auto"/>
      </w:pPr>
      <w:r>
        <w:separator/>
      </w:r>
    </w:p>
  </w:footnote>
  <w:footnote w:type="continuationSeparator" w:id="0">
    <w:p w14:paraId="3D7FFA64" w14:textId="77777777" w:rsidR="002E0D75" w:rsidRDefault="002E0D75" w:rsidP="004B2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2560971"/>
      <w:docPartObj>
        <w:docPartGallery w:val="Page Numbers (Top of Page)"/>
        <w:docPartUnique/>
      </w:docPartObj>
    </w:sdtPr>
    <w:sdtEndPr>
      <w:rPr>
        <w:noProof/>
      </w:rPr>
    </w:sdtEndPr>
    <w:sdtContent>
      <w:p w14:paraId="48EDCB55" w14:textId="77777777" w:rsidR="009232AC" w:rsidRDefault="009232AC">
        <w:pPr>
          <w:pStyle w:val="Header"/>
          <w:jc w:val="center"/>
        </w:pPr>
        <w:r w:rsidRPr="002653C3">
          <w:rPr>
            <w:rFonts w:ascii="Times New Roman" w:hAnsi="Times New Roman"/>
            <w:sz w:val="24"/>
            <w:szCs w:val="24"/>
          </w:rPr>
          <w:fldChar w:fldCharType="begin"/>
        </w:r>
        <w:r w:rsidRPr="002653C3">
          <w:rPr>
            <w:rFonts w:ascii="Times New Roman" w:hAnsi="Times New Roman"/>
            <w:sz w:val="24"/>
            <w:szCs w:val="24"/>
          </w:rPr>
          <w:instrText xml:space="preserve"> PAGE   \* MERGEFORMAT </w:instrText>
        </w:r>
        <w:r w:rsidRPr="002653C3">
          <w:rPr>
            <w:rFonts w:ascii="Times New Roman" w:hAnsi="Times New Roman"/>
            <w:sz w:val="24"/>
            <w:szCs w:val="24"/>
          </w:rPr>
          <w:fldChar w:fldCharType="separate"/>
        </w:r>
        <w:r>
          <w:rPr>
            <w:rFonts w:ascii="Times New Roman" w:hAnsi="Times New Roman"/>
            <w:noProof/>
            <w:sz w:val="24"/>
            <w:szCs w:val="24"/>
          </w:rPr>
          <w:t>2</w:t>
        </w:r>
        <w:r w:rsidRPr="002653C3">
          <w:rPr>
            <w:rFonts w:ascii="Times New Roman" w:hAnsi="Times New Roman"/>
            <w:noProof/>
            <w:sz w:val="24"/>
            <w:szCs w:val="24"/>
          </w:rPr>
          <w:fldChar w:fldCharType="end"/>
        </w:r>
      </w:p>
    </w:sdtContent>
  </w:sdt>
  <w:p w14:paraId="659E527E" w14:textId="77777777" w:rsidR="009232AC" w:rsidRDefault="009232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B4D71"/>
    <w:multiLevelType w:val="hybridMultilevel"/>
    <w:tmpl w:val="87B6D59A"/>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5AB2154A"/>
    <w:multiLevelType w:val="hybridMultilevel"/>
    <w:tmpl w:val="CFC69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D07C37"/>
    <w:multiLevelType w:val="hybridMultilevel"/>
    <w:tmpl w:val="5358B9BC"/>
    <w:lvl w:ilvl="0" w:tplc="6DA24E2C">
      <w:start w:val="8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81A"/>
    <w:rsid w:val="0001719B"/>
    <w:rsid w:val="00023EA4"/>
    <w:rsid w:val="00033B2C"/>
    <w:rsid w:val="0004008C"/>
    <w:rsid w:val="00044FA5"/>
    <w:rsid w:val="00045EBA"/>
    <w:rsid w:val="00051A75"/>
    <w:rsid w:val="00054A1E"/>
    <w:rsid w:val="000568DD"/>
    <w:rsid w:val="000600B8"/>
    <w:rsid w:val="00061A03"/>
    <w:rsid w:val="000642BC"/>
    <w:rsid w:val="00065E9F"/>
    <w:rsid w:val="00071AE5"/>
    <w:rsid w:val="00091EE1"/>
    <w:rsid w:val="000933F6"/>
    <w:rsid w:val="000A3E74"/>
    <w:rsid w:val="000B5C67"/>
    <w:rsid w:val="000C0219"/>
    <w:rsid w:val="000C6057"/>
    <w:rsid w:val="00103903"/>
    <w:rsid w:val="00104D6B"/>
    <w:rsid w:val="00106DD3"/>
    <w:rsid w:val="001225DF"/>
    <w:rsid w:val="001342AF"/>
    <w:rsid w:val="001360EE"/>
    <w:rsid w:val="001379E7"/>
    <w:rsid w:val="0015152C"/>
    <w:rsid w:val="00152339"/>
    <w:rsid w:val="00171B43"/>
    <w:rsid w:val="0017400F"/>
    <w:rsid w:val="00182191"/>
    <w:rsid w:val="001971C2"/>
    <w:rsid w:val="001A4D6C"/>
    <w:rsid w:val="001B5C11"/>
    <w:rsid w:val="001C47C4"/>
    <w:rsid w:val="001C5319"/>
    <w:rsid w:val="001D7C22"/>
    <w:rsid w:val="001F2719"/>
    <w:rsid w:val="00201B76"/>
    <w:rsid w:val="00210363"/>
    <w:rsid w:val="002171EF"/>
    <w:rsid w:val="00217893"/>
    <w:rsid w:val="00225D03"/>
    <w:rsid w:val="00226427"/>
    <w:rsid w:val="002653C3"/>
    <w:rsid w:val="002728F7"/>
    <w:rsid w:val="00275B72"/>
    <w:rsid w:val="002A3203"/>
    <w:rsid w:val="002C06ED"/>
    <w:rsid w:val="002D3D04"/>
    <w:rsid w:val="002E0D75"/>
    <w:rsid w:val="002F1477"/>
    <w:rsid w:val="002F3C5A"/>
    <w:rsid w:val="002F6029"/>
    <w:rsid w:val="002F65EA"/>
    <w:rsid w:val="00302358"/>
    <w:rsid w:val="00316A4A"/>
    <w:rsid w:val="0032757C"/>
    <w:rsid w:val="00340E90"/>
    <w:rsid w:val="00342280"/>
    <w:rsid w:val="003465C6"/>
    <w:rsid w:val="00352315"/>
    <w:rsid w:val="00357EE3"/>
    <w:rsid w:val="00363ACF"/>
    <w:rsid w:val="00363CF7"/>
    <w:rsid w:val="003756AC"/>
    <w:rsid w:val="00382C76"/>
    <w:rsid w:val="003A536B"/>
    <w:rsid w:val="003A76D5"/>
    <w:rsid w:val="003D60CB"/>
    <w:rsid w:val="003D73DD"/>
    <w:rsid w:val="003F141F"/>
    <w:rsid w:val="003F1B6E"/>
    <w:rsid w:val="003F7DA2"/>
    <w:rsid w:val="004052B4"/>
    <w:rsid w:val="00406FB2"/>
    <w:rsid w:val="00410E67"/>
    <w:rsid w:val="00410E82"/>
    <w:rsid w:val="0041347C"/>
    <w:rsid w:val="0041753A"/>
    <w:rsid w:val="004276B7"/>
    <w:rsid w:val="00427E71"/>
    <w:rsid w:val="00461910"/>
    <w:rsid w:val="0046614A"/>
    <w:rsid w:val="004702C5"/>
    <w:rsid w:val="00471E2F"/>
    <w:rsid w:val="0047678A"/>
    <w:rsid w:val="0048274A"/>
    <w:rsid w:val="00487C8A"/>
    <w:rsid w:val="004908C9"/>
    <w:rsid w:val="004931F7"/>
    <w:rsid w:val="00493430"/>
    <w:rsid w:val="00494507"/>
    <w:rsid w:val="004A44AA"/>
    <w:rsid w:val="004B06CB"/>
    <w:rsid w:val="004B231C"/>
    <w:rsid w:val="004B664F"/>
    <w:rsid w:val="004C5ECD"/>
    <w:rsid w:val="004C7270"/>
    <w:rsid w:val="004D3F53"/>
    <w:rsid w:val="004F0D98"/>
    <w:rsid w:val="00504869"/>
    <w:rsid w:val="005130B9"/>
    <w:rsid w:val="00525BC6"/>
    <w:rsid w:val="0052657E"/>
    <w:rsid w:val="00534B19"/>
    <w:rsid w:val="00551C38"/>
    <w:rsid w:val="00553EBE"/>
    <w:rsid w:val="00576918"/>
    <w:rsid w:val="00594580"/>
    <w:rsid w:val="00594997"/>
    <w:rsid w:val="005A427E"/>
    <w:rsid w:val="005B5F50"/>
    <w:rsid w:val="005C7B5C"/>
    <w:rsid w:val="005D1613"/>
    <w:rsid w:val="005D3C34"/>
    <w:rsid w:val="005D4B3D"/>
    <w:rsid w:val="005E095F"/>
    <w:rsid w:val="005E0F31"/>
    <w:rsid w:val="005F2049"/>
    <w:rsid w:val="005F3B40"/>
    <w:rsid w:val="005F6B9A"/>
    <w:rsid w:val="00606FE8"/>
    <w:rsid w:val="00611359"/>
    <w:rsid w:val="0061553C"/>
    <w:rsid w:val="00647A02"/>
    <w:rsid w:val="006605FE"/>
    <w:rsid w:val="00660C01"/>
    <w:rsid w:val="006871D9"/>
    <w:rsid w:val="00695F0B"/>
    <w:rsid w:val="006C1726"/>
    <w:rsid w:val="006D58A4"/>
    <w:rsid w:val="006E57BA"/>
    <w:rsid w:val="006E7FBC"/>
    <w:rsid w:val="006F7023"/>
    <w:rsid w:val="0070681D"/>
    <w:rsid w:val="00730AE6"/>
    <w:rsid w:val="00730E8C"/>
    <w:rsid w:val="007654E7"/>
    <w:rsid w:val="00766903"/>
    <w:rsid w:val="0079303B"/>
    <w:rsid w:val="007974CB"/>
    <w:rsid w:val="007B3539"/>
    <w:rsid w:val="007C1307"/>
    <w:rsid w:val="007D4078"/>
    <w:rsid w:val="007D5D8C"/>
    <w:rsid w:val="007E1F2F"/>
    <w:rsid w:val="007F3F5C"/>
    <w:rsid w:val="0080114C"/>
    <w:rsid w:val="00815593"/>
    <w:rsid w:val="0082391D"/>
    <w:rsid w:val="0084169B"/>
    <w:rsid w:val="00842579"/>
    <w:rsid w:val="00853FB1"/>
    <w:rsid w:val="00860E7F"/>
    <w:rsid w:val="00861995"/>
    <w:rsid w:val="00864F71"/>
    <w:rsid w:val="00866B65"/>
    <w:rsid w:val="00870146"/>
    <w:rsid w:val="0087415E"/>
    <w:rsid w:val="008925A3"/>
    <w:rsid w:val="00892918"/>
    <w:rsid w:val="008934A8"/>
    <w:rsid w:val="008B1E55"/>
    <w:rsid w:val="008D1EBD"/>
    <w:rsid w:val="008D48C8"/>
    <w:rsid w:val="008E65A4"/>
    <w:rsid w:val="008E7DDE"/>
    <w:rsid w:val="009232AC"/>
    <w:rsid w:val="00930D16"/>
    <w:rsid w:val="009311D8"/>
    <w:rsid w:val="00934A6B"/>
    <w:rsid w:val="00945717"/>
    <w:rsid w:val="00946975"/>
    <w:rsid w:val="0095464A"/>
    <w:rsid w:val="0097370E"/>
    <w:rsid w:val="009860B4"/>
    <w:rsid w:val="009931C7"/>
    <w:rsid w:val="009B03E3"/>
    <w:rsid w:val="009C5617"/>
    <w:rsid w:val="009C7872"/>
    <w:rsid w:val="009D007B"/>
    <w:rsid w:val="009D236D"/>
    <w:rsid w:val="009D4673"/>
    <w:rsid w:val="009D5045"/>
    <w:rsid w:val="009D7FB1"/>
    <w:rsid w:val="009E1F23"/>
    <w:rsid w:val="009E51DD"/>
    <w:rsid w:val="009E6056"/>
    <w:rsid w:val="00A056D3"/>
    <w:rsid w:val="00A24E46"/>
    <w:rsid w:val="00A565BF"/>
    <w:rsid w:val="00A65BD3"/>
    <w:rsid w:val="00A70B86"/>
    <w:rsid w:val="00A713A0"/>
    <w:rsid w:val="00A8018F"/>
    <w:rsid w:val="00A830FF"/>
    <w:rsid w:val="00A9321F"/>
    <w:rsid w:val="00AA5D4D"/>
    <w:rsid w:val="00AB74C1"/>
    <w:rsid w:val="00AC25D4"/>
    <w:rsid w:val="00AE7691"/>
    <w:rsid w:val="00AF285B"/>
    <w:rsid w:val="00AF3ADD"/>
    <w:rsid w:val="00AF4BCA"/>
    <w:rsid w:val="00AF5D54"/>
    <w:rsid w:val="00AF6448"/>
    <w:rsid w:val="00B13CF3"/>
    <w:rsid w:val="00B23DBA"/>
    <w:rsid w:val="00B24FA1"/>
    <w:rsid w:val="00B4050D"/>
    <w:rsid w:val="00B430ED"/>
    <w:rsid w:val="00B62F88"/>
    <w:rsid w:val="00B670FD"/>
    <w:rsid w:val="00B67B05"/>
    <w:rsid w:val="00B70364"/>
    <w:rsid w:val="00B84F06"/>
    <w:rsid w:val="00B9368F"/>
    <w:rsid w:val="00B963E3"/>
    <w:rsid w:val="00B96E59"/>
    <w:rsid w:val="00BD0730"/>
    <w:rsid w:val="00BD5FC6"/>
    <w:rsid w:val="00BE7580"/>
    <w:rsid w:val="00BF386F"/>
    <w:rsid w:val="00C10EAB"/>
    <w:rsid w:val="00C24921"/>
    <w:rsid w:val="00C2780F"/>
    <w:rsid w:val="00C32E2E"/>
    <w:rsid w:val="00C4454C"/>
    <w:rsid w:val="00C52A89"/>
    <w:rsid w:val="00C5713F"/>
    <w:rsid w:val="00C67910"/>
    <w:rsid w:val="00C71373"/>
    <w:rsid w:val="00C72C13"/>
    <w:rsid w:val="00C805F3"/>
    <w:rsid w:val="00C80A74"/>
    <w:rsid w:val="00C9092A"/>
    <w:rsid w:val="00CA08AD"/>
    <w:rsid w:val="00CA2525"/>
    <w:rsid w:val="00CA4D17"/>
    <w:rsid w:val="00CA5227"/>
    <w:rsid w:val="00CA6DE6"/>
    <w:rsid w:val="00CB6E7E"/>
    <w:rsid w:val="00CC3C5B"/>
    <w:rsid w:val="00CC60FD"/>
    <w:rsid w:val="00CC73A2"/>
    <w:rsid w:val="00CF61E7"/>
    <w:rsid w:val="00CF6E92"/>
    <w:rsid w:val="00D231F1"/>
    <w:rsid w:val="00D23576"/>
    <w:rsid w:val="00D25174"/>
    <w:rsid w:val="00D25C2B"/>
    <w:rsid w:val="00D25FE5"/>
    <w:rsid w:val="00D266D7"/>
    <w:rsid w:val="00D325C1"/>
    <w:rsid w:val="00D3327E"/>
    <w:rsid w:val="00D338D6"/>
    <w:rsid w:val="00D622C1"/>
    <w:rsid w:val="00D72EAB"/>
    <w:rsid w:val="00D73A23"/>
    <w:rsid w:val="00D76D1E"/>
    <w:rsid w:val="00D80E20"/>
    <w:rsid w:val="00D8402C"/>
    <w:rsid w:val="00D9781A"/>
    <w:rsid w:val="00DA6606"/>
    <w:rsid w:val="00DD7BB5"/>
    <w:rsid w:val="00DE172C"/>
    <w:rsid w:val="00DE677E"/>
    <w:rsid w:val="00DF2E4F"/>
    <w:rsid w:val="00DF6645"/>
    <w:rsid w:val="00E03E42"/>
    <w:rsid w:val="00E165FF"/>
    <w:rsid w:val="00E3008C"/>
    <w:rsid w:val="00E41701"/>
    <w:rsid w:val="00E615B3"/>
    <w:rsid w:val="00E63AAB"/>
    <w:rsid w:val="00E741D0"/>
    <w:rsid w:val="00E90696"/>
    <w:rsid w:val="00E915D7"/>
    <w:rsid w:val="00EB4992"/>
    <w:rsid w:val="00EC2DA7"/>
    <w:rsid w:val="00ED0980"/>
    <w:rsid w:val="00ED4D7A"/>
    <w:rsid w:val="00ED55DB"/>
    <w:rsid w:val="00ED70C4"/>
    <w:rsid w:val="00EE024F"/>
    <w:rsid w:val="00EE106E"/>
    <w:rsid w:val="00EE3894"/>
    <w:rsid w:val="00F01241"/>
    <w:rsid w:val="00F10B20"/>
    <w:rsid w:val="00F26769"/>
    <w:rsid w:val="00F35476"/>
    <w:rsid w:val="00F46100"/>
    <w:rsid w:val="00F5799E"/>
    <w:rsid w:val="00F60899"/>
    <w:rsid w:val="00F763CB"/>
    <w:rsid w:val="00F8545C"/>
    <w:rsid w:val="00F85FB4"/>
    <w:rsid w:val="00FA434D"/>
    <w:rsid w:val="00FA46F4"/>
    <w:rsid w:val="00FA5E77"/>
    <w:rsid w:val="00FB158C"/>
    <w:rsid w:val="00FC547A"/>
    <w:rsid w:val="00FD29AD"/>
    <w:rsid w:val="00FD5B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77430"/>
  <w15:chartTrackingRefBased/>
  <w15:docId w15:val="{36E12589-CE25-45A7-8D3E-03528A0D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B19"/>
    <w:pPr>
      <w:spacing w:line="256" w:lineRule="auto"/>
    </w:pPr>
    <w:rPr>
      <w:rFonts w:ascii="Calibri" w:eastAsia="Calibri" w:hAnsi="Calibri" w:cs="Times New Roman"/>
    </w:rPr>
  </w:style>
  <w:style w:type="paragraph" w:styleId="Heading3">
    <w:name w:val="heading 3"/>
    <w:basedOn w:val="Normal"/>
    <w:link w:val="Heading3Char"/>
    <w:uiPriority w:val="9"/>
    <w:qFormat/>
    <w:rsid w:val="007D4078"/>
    <w:pPr>
      <w:spacing w:before="100" w:beforeAutospacing="1" w:after="100" w:afterAutospacing="1" w:line="240" w:lineRule="auto"/>
      <w:outlineLvl w:val="2"/>
    </w:pPr>
    <w:rPr>
      <w:rFonts w:ascii="Times New Roman" w:eastAsia="Times New Roman" w:hAnsi="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4B19"/>
    <w:rPr>
      <w:color w:val="0000FF"/>
      <w:u w:val="single"/>
    </w:rPr>
  </w:style>
  <w:style w:type="paragraph" w:styleId="ListParagraph">
    <w:name w:val="List Paragraph"/>
    <w:basedOn w:val="Normal"/>
    <w:uiPriority w:val="34"/>
    <w:qFormat/>
    <w:rsid w:val="00534B19"/>
    <w:pPr>
      <w:spacing w:line="254" w:lineRule="auto"/>
      <w:ind w:left="720"/>
      <w:contextualSpacing/>
    </w:pPr>
  </w:style>
  <w:style w:type="paragraph" w:customStyle="1" w:styleId="tvhtml">
    <w:name w:val="tv_html"/>
    <w:basedOn w:val="Normal"/>
    <w:rsid w:val="00534B19"/>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unhideWhenUsed/>
    <w:rsid w:val="004B231C"/>
    <w:pPr>
      <w:tabs>
        <w:tab w:val="center" w:pos="4153"/>
        <w:tab w:val="right" w:pos="8306"/>
      </w:tabs>
      <w:spacing w:after="0" w:line="240" w:lineRule="auto"/>
    </w:pPr>
  </w:style>
  <w:style w:type="character" w:customStyle="1" w:styleId="HeaderChar">
    <w:name w:val="Header Char"/>
    <w:basedOn w:val="DefaultParagraphFont"/>
    <w:link w:val="Header"/>
    <w:uiPriority w:val="99"/>
    <w:rsid w:val="004B231C"/>
    <w:rPr>
      <w:rFonts w:ascii="Calibri" w:eastAsia="Calibri" w:hAnsi="Calibri" w:cs="Times New Roman"/>
    </w:rPr>
  </w:style>
  <w:style w:type="paragraph" w:styleId="Footer">
    <w:name w:val="footer"/>
    <w:basedOn w:val="Normal"/>
    <w:link w:val="FooterChar"/>
    <w:unhideWhenUsed/>
    <w:rsid w:val="004B231C"/>
    <w:pPr>
      <w:tabs>
        <w:tab w:val="center" w:pos="4153"/>
        <w:tab w:val="right" w:pos="8306"/>
      </w:tabs>
      <w:spacing w:after="0" w:line="240" w:lineRule="auto"/>
    </w:pPr>
  </w:style>
  <w:style w:type="character" w:customStyle="1" w:styleId="FooterChar">
    <w:name w:val="Footer Char"/>
    <w:basedOn w:val="DefaultParagraphFont"/>
    <w:link w:val="Footer"/>
    <w:uiPriority w:val="99"/>
    <w:rsid w:val="004B231C"/>
    <w:rPr>
      <w:rFonts w:ascii="Calibri" w:eastAsia="Calibri" w:hAnsi="Calibri" w:cs="Times New Roman"/>
    </w:rPr>
  </w:style>
  <w:style w:type="paragraph" w:styleId="BalloonText">
    <w:name w:val="Balloon Text"/>
    <w:basedOn w:val="Normal"/>
    <w:link w:val="BalloonTextChar"/>
    <w:uiPriority w:val="99"/>
    <w:semiHidden/>
    <w:unhideWhenUsed/>
    <w:rsid w:val="004B23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31C"/>
    <w:rPr>
      <w:rFonts w:ascii="Segoe UI" w:eastAsia="Calibri" w:hAnsi="Segoe UI" w:cs="Segoe UI"/>
      <w:sz w:val="18"/>
      <w:szCs w:val="18"/>
    </w:rPr>
  </w:style>
  <w:style w:type="paragraph" w:styleId="EndnoteText">
    <w:name w:val="endnote text"/>
    <w:basedOn w:val="Normal"/>
    <w:link w:val="EndnoteTextChar"/>
    <w:uiPriority w:val="99"/>
    <w:semiHidden/>
    <w:unhideWhenUsed/>
    <w:rsid w:val="007F3F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3F5C"/>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7F3F5C"/>
    <w:rPr>
      <w:vertAlign w:val="superscript"/>
    </w:rPr>
  </w:style>
  <w:style w:type="character" w:customStyle="1" w:styleId="Heading3Char">
    <w:name w:val="Heading 3 Char"/>
    <w:basedOn w:val="DefaultParagraphFont"/>
    <w:link w:val="Heading3"/>
    <w:uiPriority w:val="9"/>
    <w:rsid w:val="007D4078"/>
    <w:rPr>
      <w:rFonts w:ascii="Times New Roman" w:eastAsia="Times New Roman" w:hAnsi="Times New Roman" w:cs="Times New Roman"/>
      <w:b/>
      <w:bCs/>
      <w:sz w:val="27"/>
      <w:szCs w:val="27"/>
      <w:lang w:eastAsia="lv-LV"/>
    </w:rPr>
  </w:style>
  <w:style w:type="paragraph" w:styleId="BodyText">
    <w:name w:val="Body Text"/>
    <w:basedOn w:val="Normal"/>
    <w:link w:val="BodyTextChar"/>
    <w:rsid w:val="001360EE"/>
    <w:pPr>
      <w:spacing w:after="0" w:line="240" w:lineRule="auto"/>
      <w:jc w:val="both"/>
    </w:pPr>
    <w:rPr>
      <w:rFonts w:ascii="Times New Roman" w:eastAsia="Times New Roman" w:hAnsi="Times New Roman"/>
      <w:sz w:val="28"/>
      <w:szCs w:val="20"/>
      <w:lang w:val="x-none" w:eastAsia="x-none"/>
    </w:rPr>
  </w:style>
  <w:style w:type="character" w:customStyle="1" w:styleId="BodyTextChar">
    <w:name w:val="Body Text Char"/>
    <w:basedOn w:val="DefaultParagraphFont"/>
    <w:link w:val="BodyText"/>
    <w:rsid w:val="001360EE"/>
    <w:rPr>
      <w:rFonts w:ascii="Times New Roman" w:eastAsia="Times New Roman" w:hAnsi="Times New Roman" w:cs="Times New Roman"/>
      <w:sz w:val="28"/>
      <w:szCs w:val="20"/>
      <w:lang w:val="x-none" w:eastAsia="x-none"/>
    </w:rPr>
  </w:style>
  <w:style w:type="character" w:customStyle="1" w:styleId="Neatrisintapieminana1">
    <w:name w:val="Neatrisināta pieminēšana1"/>
    <w:basedOn w:val="DefaultParagraphFont"/>
    <w:uiPriority w:val="99"/>
    <w:semiHidden/>
    <w:unhideWhenUsed/>
    <w:rsid w:val="006605FE"/>
    <w:rPr>
      <w:color w:val="605E5C"/>
      <w:shd w:val="clear" w:color="auto" w:fill="E1DFDD"/>
    </w:rPr>
  </w:style>
  <w:style w:type="character" w:styleId="CommentReference">
    <w:name w:val="annotation reference"/>
    <w:basedOn w:val="DefaultParagraphFont"/>
    <w:unhideWhenUsed/>
    <w:rsid w:val="00065E9F"/>
    <w:rPr>
      <w:sz w:val="16"/>
      <w:szCs w:val="16"/>
    </w:rPr>
  </w:style>
  <w:style w:type="paragraph" w:styleId="CommentText">
    <w:name w:val="annotation text"/>
    <w:basedOn w:val="Normal"/>
    <w:link w:val="CommentTextChar"/>
    <w:uiPriority w:val="99"/>
    <w:semiHidden/>
    <w:unhideWhenUsed/>
    <w:rsid w:val="00065E9F"/>
    <w:pPr>
      <w:spacing w:line="240" w:lineRule="auto"/>
    </w:pPr>
    <w:rPr>
      <w:sz w:val="20"/>
      <w:szCs w:val="20"/>
    </w:rPr>
  </w:style>
  <w:style w:type="character" w:customStyle="1" w:styleId="CommentTextChar">
    <w:name w:val="Comment Text Char"/>
    <w:basedOn w:val="DefaultParagraphFont"/>
    <w:link w:val="CommentText"/>
    <w:uiPriority w:val="99"/>
    <w:semiHidden/>
    <w:rsid w:val="00065E9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65E9F"/>
    <w:rPr>
      <w:b/>
      <w:bCs/>
    </w:rPr>
  </w:style>
  <w:style w:type="character" w:customStyle="1" w:styleId="CommentSubjectChar">
    <w:name w:val="Comment Subject Char"/>
    <w:basedOn w:val="CommentTextChar"/>
    <w:link w:val="CommentSubject"/>
    <w:uiPriority w:val="99"/>
    <w:semiHidden/>
    <w:rsid w:val="00065E9F"/>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F01241"/>
    <w:rPr>
      <w:color w:val="954F72" w:themeColor="followedHyperlink"/>
      <w:u w:val="single"/>
    </w:rPr>
  </w:style>
  <w:style w:type="character" w:customStyle="1" w:styleId="Bodytext0">
    <w:name w:val="Body text_"/>
    <w:link w:val="BodyText3"/>
    <w:rsid w:val="009C5617"/>
    <w:rPr>
      <w:shd w:val="clear" w:color="auto" w:fill="FFFFFF"/>
    </w:rPr>
  </w:style>
  <w:style w:type="paragraph" w:customStyle="1" w:styleId="BodyText3">
    <w:name w:val="Body Text3"/>
    <w:basedOn w:val="Normal"/>
    <w:link w:val="Bodytext0"/>
    <w:rsid w:val="009C5617"/>
    <w:pPr>
      <w:widowControl w:val="0"/>
      <w:shd w:val="clear" w:color="auto" w:fill="FFFFFF"/>
      <w:spacing w:before="420" w:after="360" w:line="0" w:lineRule="atLeast"/>
      <w:ind w:hanging="1140"/>
      <w:jc w:val="center"/>
    </w:pPr>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9C56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5617"/>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9C5617"/>
    <w:rPr>
      <w:vertAlign w:val="superscript"/>
    </w:rPr>
  </w:style>
  <w:style w:type="character" w:styleId="PlaceholderText">
    <w:name w:val="Placeholder Text"/>
    <w:basedOn w:val="DefaultParagraphFont"/>
    <w:uiPriority w:val="99"/>
    <w:semiHidden/>
    <w:rsid w:val="00CC60FD"/>
    <w:rPr>
      <w:color w:val="808080"/>
    </w:rPr>
  </w:style>
  <w:style w:type="table" w:styleId="TableGrid">
    <w:name w:val="Table Grid"/>
    <w:basedOn w:val="TableNormal"/>
    <w:uiPriority w:val="39"/>
    <w:rsid w:val="00CA6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33B2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263316">
      <w:bodyDiv w:val="1"/>
      <w:marLeft w:val="0"/>
      <w:marRight w:val="0"/>
      <w:marTop w:val="0"/>
      <w:marBottom w:val="0"/>
      <w:divBdr>
        <w:top w:val="none" w:sz="0" w:space="0" w:color="auto"/>
        <w:left w:val="none" w:sz="0" w:space="0" w:color="auto"/>
        <w:bottom w:val="none" w:sz="0" w:space="0" w:color="auto"/>
        <w:right w:val="none" w:sz="0" w:space="0" w:color="auto"/>
      </w:divBdr>
    </w:div>
    <w:div w:id="283582137">
      <w:bodyDiv w:val="1"/>
      <w:marLeft w:val="0"/>
      <w:marRight w:val="0"/>
      <w:marTop w:val="0"/>
      <w:marBottom w:val="0"/>
      <w:divBdr>
        <w:top w:val="none" w:sz="0" w:space="0" w:color="auto"/>
        <w:left w:val="none" w:sz="0" w:space="0" w:color="auto"/>
        <w:bottom w:val="none" w:sz="0" w:space="0" w:color="auto"/>
        <w:right w:val="none" w:sz="0" w:space="0" w:color="auto"/>
      </w:divBdr>
    </w:div>
    <w:div w:id="537746021">
      <w:bodyDiv w:val="1"/>
      <w:marLeft w:val="0"/>
      <w:marRight w:val="0"/>
      <w:marTop w:val="0"/>
      <w:marBottom w:val="0"/>
      <w:divBdr>
        <w:top w:val="none" w:sz="0" w:space="0" w:color="auto"/>
        <w:left w:val="none" w:sz="0" w:space="0" w:color="auto"/>
        <w:bottom w:val="none" w:sz="0" w:space="0" w:color="auto"/>
        <w:right w:val="none" w:sz="0" w:space="0" w:color="auto"/>
      </w:divBdr>
    </w:div>
    <w:div w:id="727994852">
      <w:bodyDiv w:val="1"/>
      <w:marLeft w:val="0"/>
      <w:marRight w:val="0"/>
      <w:marTop w:val="0"/>
      <w:marBottom w:val="0"/>
      <w:divBdr>
        <w:top w:val="none" w:sz="0" w:space="0" w:color="auto"/>
        <w:left w:val="none" w:sz="0" w:space="0" w:color="auto"/>
        <w:bottom w:val="none" w:sz="0" w:space="0" w:color="auto"/>
        <w:right w:val="none" w:sz="0" w:space="0" w:color="auto"/>
      </w:divBdr>
    </w:div>
    <w:div w:id="850728347">
      <w:bodyDiv w:val="1"/>
      <w:marLeft w:val="0"/>
      <w:marRight w:val="0"/>
      <w:marTop w:val="0"/>
      <w:marBottom w:val="0"/>
      <w:divBdr>
        <w:top w:val="none" w:sz="0" w:space="0" w:color="auto"/>
        <w:left w:val="none" w:sz="0" w:space="0" w:color="auto"/>
        <w:bottom w:val="none" w:sz="0" w:space="0" w:color="auto"/>
        <w:right w:val="none" w:sz="0" w:space="0" w:color="auto"/>
      </w:divBdr>
    </w:div>
    <w:div w:id="1284385810">
      <w:bodyDiv w:val="1"/>
      <w:marLeft w:val="0"/>
      <w:marRight w:val="0"/>
      <w:marTop w:val="0"/>
      <w:marBottom w:val="0"/>
      <w:divBdr>
        <w:top w:val="none" w:sz="0" w:space="0" w:color="auto"/>
        <w:left w:val="none" w:sz="0" w:space="0" w:color="auto"/>
        <w:bottom w:val="none" w:sz="0" w:space="0" w:color="auto"/>
        <w:right w:val="none" w:sz="0" w:space="0" w:color="auto"/>
      </w:divBdr>
    </w:div>
    <w:div w:id="1651129831">
      <w:bodyDiv w:val="1"/>
      <w:marLeft w:val="0"/>
      <w:marRight w:val="0"/>
      <w:marTop w:val="0"/>
      <w:marBottom w:val="0"/>
      <w:divBdr>
        <w:top w:val="none" w:sz="0" w:space="0" w:color="auto"/>
        <w:left w:val="none" w:sz="0" w:space="0" w:color="auto"/>
        <w:bottom w:val="none" w:sz="0" w:space="0" w:color="auto"/>
        <w:right w:val="none" w:sz="0" w:space="0" w:color="auto"/>
      </w:divBdr>
    </w:div>
    <w:div w:id="180862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ta/id/140713-par-koncepciju-ikgadeja-valsts-nodeva-par-radiofrekvencu-spektra-un-numeracijas-resursu-lietosanas-tiesib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196081-noteikumi-par-numeracijas-lietosanas-tiesibu-ikgadejo-valsts-nodev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DF68B-70D9-43E8-837E-C3236D1E2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17017</Words>
  <Characters>9700</Characters>
  <Application>Microsoft Office Word</Application>
  <DocSecurity>0</DocSecurity>
  <Lines>80</Lines>
  <Paragraphs>53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noteikumu projekts “Noteikumi par numerācijas lietošanas tiesību ikgadējo valsts nodevu”</vt:lpstr>
      <vt:lpstr>Ministru kabineta noteikumu projekts “Noteikumi par numerācijas lietošanas tiesību ikgadējo valsts nodevu”</vt:lpstr>
    </vt:vector>
  </TitlesOfParts>
  <Company>Satiksmes ministrija</Company>
  <LinksUpToDate>false</LinksUpToDate>
  <CharactersWithSpaces>26664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“Noteikumi par numerācijas lietošanas tiesību ikgadējo valsts nodevu”</dc:title>
  <dc:subject>Sākotnējās ietekmes novērtējuma ziņojums (anotācija)</dc:subject>
  <dc:creator>Dace Bankoviča</dc:creator>
  <cp:keywords/>
  <dc:description>Dace.Bankovica@sam.gov.lv_x000d_
t.67028111</dc:description>
  <cp:lastModifiedBy>Dace Bankoviča</cp:lastModifiedBy>
  <cp:revision>4</cp:revision>
  <cp:lastPrinted>2020-07-30T05:32:00Z</cp:lastPrinted>
  <dcterms:created xsi:type="dcterms:W3CDTF">2020-07-30T12:14:00Z</dcterms:created>
  <dcterms:modified xsi:type="dcterms:W3CDTF">2020-07-31T06:26:00Z</dcterms:modified>
</cp:coreProperties>
</file>